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FB7323" w:rsidRPr="00FB732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“乾元—聚盈”开放式资产组合型人民币理财产品</w:t>
      </w:r>
      <w:r w:rsidR="00CC6956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2020年度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FB7323">
        <w:rPr>
          <w:rFonts w:asciiTheme="minorEastAsia" w:eastAsiaTheme="minorEastAsia" w:hAnsiTheme="minorEastAsia" w:hint="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835319">
        <w:rPr>
          <w:rFonts w:asciiTheme="minorEastAsia" w:eastAsiaTheme="minorEastAsia" w:hAnsiTheme="minorEastAsia" w:hint="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A47C96">
        <w:rPr>
          <w:rFonts w:asciiTheme="minorEastAsia" w:eastAsiaTheme="minorEastAsia" w:hAnsiTheme="minorEastAsia" w:hint="eastAsia"/>
          <w:color w:val="000000"/>
          <w:szCs w:val="21"/>
        </w:rPr>
        <w:t>3</w:t>
      </w:r>
      <w:r w:rsidR="00835319">
        <w:rPr>
          <w:rFonts w:asciiTheme="minorEastAsia" w:eastAsiaTheme="minorEastAsia" w:hAnsiTheme="minorEastAsia" w:hint="eastAsia"/>
          <w:color w:val="000000"/>
          <w:szCs w:val="21"/>
        </w:rPr>
        <w:t>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FB7323" w:rsidP="00FB7323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FB7323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“乾元—聚盈”开放式资产组合型人民币理财产品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Pr="00FB7323">
        <w:rPr>
          <w:rFonts w:asciiTheme="minorEastAsia" w:eastAsiaTheme="minorEastAsia" w:hAnsiTheme="minorEastAsia" w:hint="eastAsia"/>
          <w:color w:val="000000"/>
          <w:sz w:val="28"/>
          <w:szCs w:val="28"/>
        </w:rPr>
        <w:t>2016年9月9日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835319" w:rsidRPr="00835319">
        <w:rPr>
          <w:rFonts w:asciiTheme="minorEastAsia" w:eastAsiaTheme="minorEastAsia" w:hAnsiTheme="minorEastAsia"/>
          <w:color w:val="000000"/>
          <w:sz w:val="28"/>
          <w:szCs w:val="28"/>
        </w:rPr>
        <w:t>1,057,362.38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A47C96" w:rsidRDefault="006135B1" w:rsidP="00A47C96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="00A47C96"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8498" w:type="dxa"/>
        <w:jc w:val="center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3"/>
        <w:gridCol w:w="924"/>
        <w:gridCol w:w="1051"/>
        <w:gridCol w:w="988"/>
        <w:gridCol w:w="988"/>
        <w:gridCol w:w="1038"/>
        <w:gridCol w:w="1348"/>
        <w:gridCol w:w="1038"/>
      </w:tblGrid>
      <w:tr w:rsidR="00A47C96" w:rsidRPr="00FB7323" w:rsidTr="00A47C96">
        <w:trPr>
          <w:trHeight w:val="473"/>
          <w:jc w:val="center"/>
        </w:trPr>
        <w:tc>
          <w:tcPr>
            <w:tcW w:w="1123" w:type="dxa"/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投资期</w:t>
            </w:r>
          </w:p>
        </w:tc>
        <w:tc>
          <w:tcPr>
            <w:tcW w:w="924" w:type="dxa"/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1≤T&lt;16</w:t>
            </w:r>
          </w:p>
        </w:tc>
        <w:tc>
          <w:tcPr>
            <w:tcW w:w="1051" w:type="dxa"/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16≤T&lt;32</w:t>
            </w:r>
          </w:p>
        </w:tc>
        <w:tc>
          <w:tcPr>
            <w:tcW w:w="988" w:type="dxa"/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32≤T&lt;62</w:t>
            </w:r>
          </w:p>
        </w:tc>
        <w:tc>
          <w:tcPr>
            <w:tcW w:w="988" w:type="dxa"/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62≤T&lt;92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96" w:rsidRPr="00FB7323" w:rsidRDefault="00A47C96" w:rsidP="00A47C96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92≤T&lt;180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180≤T&lt;270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T≥270</w:t>
            </w:r>
          </w:p>
        </w:tc>
      </w:tr>
      <w:tr w:rsidR="00A47C96" w:rsidRPr="00FB7323" w:rsidTr="00A47C96">
        <w:trPr>
          <w:trHeight w:val="778"/>
          <w:jc w:val="center"/>
        </w:trPr>
        <w:tc>
          <w:tcPr>
            <w:tcW w:w="1123" w:type="dxa"/>
            <w:vAlign w:val="bottom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投资者实际收益率</w:t>
            </w:r>
          </w:p>
        </w:tc>
        <w:tc>
          <w:tcPr>
            <w:tcW w:w="924" w:type="dxa"/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40</w:t>
            </w: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51" w:type="dxa"/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60</w:t>
            </w:r>
            <w:r w:rsidRPr="00FB7323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988" w:type="dxa"/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2.8</w:t>
            </w: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</w:t>
            </w:r>
            <w:r w:rsidRPr="00FB7323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988" w:type="dxa"/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</w:t>
            </w: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</w:t>
            </w:r>
            <w:r w:rsidRPr="00FB7323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</w:t>
            </w:r>
            <w:r w:rsidRPr="00FB7323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C96" w:rsidRPr="00FB7323" w:rsidRDefault="00A47C96" w:rsidP="00A47C96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  <w:r w:rsidRPr="00FB732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</w:t>
            </w:r>
            <w:r w:rsidRPr="00FB7323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%</w:t>
            </w:r>
          </w:p>
        </w:tc>
      </w:tr>
    </w:tbl>
    <w:p w:rsidR="00A47C96" w:rsidRPr="00A47C96" w:rsidRDefault="00A47C96" w:rsidP="00FB7323">
      <w:pPr>
        <w:spacing w:line="480" w:lineRule="exact"/>
        <w:rPr>
          <w:rFonts w:asciiTheme="minorEastAsia" w:eastAsiaTheme="minorEastAsia" w:hAnsiTheme="minorEastAsia"/>
          <w:color w:val="000000"/>
          <w:sz w:val="18"/>
          <w:szCs w:val="18"/>
        </w:rPr>
      </w:pPr>
    </w:p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F0DB2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F0DB2" w:rsidRDefault="00EF0DB2" w:rsidP="00572B3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中国建设银行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浙江</w:t>
            </w: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t>省分行</w:t>
            </w:r>
          </w:p>
          <w:p w:rsidR="00EF0DB2" w:rsidRDefault="00EF0DB2" w:rsidP="00572B33">
            <w:pPr>
              <w:jc w:val="center"/>
            </w:pP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t>“乾元—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聚盈</w:t>
            </w: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t>”开放式资产组合型人民币理财产品</w:t>
            </w:r>
          </w:p>
        </w:tc>
        <w:tc>
          <w:tcPr>
            <w:tcW w:w="1418" w:type="dxa"/>
            <w:vAlign w:val="center"/>
          </w:tcPr>
          <w:p w:rsidR="00EF0DB2" w:rsidRDefault="00EF0DB2" w:rsidP="00572B33">
            <w:pPr>
              <w:jc w:val="center"/>
            </w:pPr>
            <w:r w:rsidRPr="000656FD">
              <w:rPr>
                <w:rFonts w:ascii="宋体" w:hAnsi="宋体" w:cs="宋体"/>
                <w:color w:val="000000"/>
                <w:kern w:val="0"/>
                <w:szCs w:val="21"/>
              </w:rPr>
              <w:t>201</w:t>
            </w: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  <w:r w:rsidRPr="000656FD">
              <w:rPr>
                <w:rFonts w:ascii="宋体" w:hAns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  <w:r w:rsidRPr="000656FD">
              <w:rPr>
                <w:rFonts w:ascii="宋体" w:hAns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417" w:type="dxa"/>
            <w:vAlign w:val="center"/>
          </w:tcPr>
          <w:p w:rsidR="00EF0DB2" w:rsidRDefault="00EF0DB2" w:rsidP="00572B33">
            <w:pPr>
              <w:jc w:val="center"/>
            </w:pPr>
            <w:r w:rsidRPr="000656FD">
              <w:rPr>
                <w:rFonts w:ascii="宋体" w:hAnsi="宋体" w:cs="宋体"/>
                <w:color w:val="000000"/>
                <w:kern w:val="0"/>
                <w:szCs w:val="21"/>
              </w:rPr>
              <w:t>201</w:t>
            </w: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  <w:r w:rsidRPr="000656FD">
              <w:rPr>
                <w:rFonts w:ascii="宋体" w:hAns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  <w:r w:rsidRPr="000656FD">
              <w:rPr>
                <w:rFonts w:ascii="宋体" w:hAns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 w:rsidR="00EF0DB2" w:rsidRDefault="00EF0DB2" w:rsidP="00572B33">
            <w:pPr>
              <w:jc w:val="center"/>
            </w:pPr>
            <w:r w:rsidRPr="000656FD">
              <w:rPr>
                <w:rFonts w:ascii="宋体" w:hAnsi="宋体" w:cs="宋体"/>
                <w:color w:val="000000"/>
                <w:kern w:val="0"/>
                <w:szCs w:val="21"/>
              </w:rPr>
              <w:t>201</w:t>
            </w: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  <w:r w:rsidRPr="000656FD">
              <w:rPr>
                <w:rFonts w:ascii="宋体" w:hAns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  <w:r w:rsidRPr="000656FD">
              <w:rPr>
                <w:rFonts w:ascii="宋体" w:hAnsi="宋体" w:cs="宋体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26" w:type="dxa"/>
            <w:vAlign w:val="center"/>
          </w:tcPr>
          <w:p w:rsidR="00EF0DB2" w:rsidRDefault="00EF0DB2" w:rsidP="00572B3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t>无固定期限</w:t>
            </w:r>
          </w:p>
          <w:p w:rsidR="00EF0DB2" w:rsidRPr="002C0D87" w:rsidRDefault="00EF0DB2" w:rsidP="00572B33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中国建设银行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浙江</w:t>
            </w:r>
            <w:r w:rsidRPr="000656FD">
              <w:rPr>
                <w:rFonts w:ascii="宋体" w:hAnsi="宋体" w:cs="宋体" w:hint="eastAsia"/>
                <w:color w:val="000000"/>
                <w:kern w:val="0"/>
                <w:szCs w:val="21"/>
              </w:rPr>
              <w:t>省分行有权提前终止产品。</w:t>
            </w:r>
          </w:p>
        </w:tc>
      </w:tr>
    </w:tbl>
    <w:p w:rsidR="00EF0DB2" w:rsidRPr="00EF0DB2" w:rsidRDefault="00EF0DB2" w:rsidP="00EF0DB2">
      <w:pPr>
        <w:spacing w:afterLines="50" w:after="156"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F0DB2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理财产品管理人：中国建设银行浙江省分行</w:t>
      </w:r>
    </w:p>
    <w:p w:rsidR="00EF0DB2" w:rsidRDefault="00EF0DB2" w:rsidP="00EF0DB2">
      <w:pPr>
        <w:spacing w:afterLines="50" w:after="156"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F0DB2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理财产品托管人：中国建设银行浙江省分行</w:t>
      </w:r>
    </w:p>
    <w:p w:rsidR="005204A8" w:rsidRDefault="005204A8" w:rsidP="00EF0DB2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520"/>
        <w:gridCol w:w="1740"/>
        <w:gridCol w:w="1520"/>
        <w:gridCol w:w="1740"/>
      </w:tblGrid>
      <w:tr w:rsidR="005204A8" w:rsidTr="008C4CB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520" w:type="dxa"/>
            <w:vAlign w:val="center"/>
          </w:tcPr>
          <w:p w:rsidR="005204A8" w:rsidRDefault="005204A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（万元）</w:t>
            </w:r>
          </w:p>
        </w:tc>
        <w:tc>
          <w:tcPr>
            <w:tcW w:w="1740" w:type="dxa"/>
            <w:vAlign w:val="center"/>
          </w:tcPr>
          <w:p w:rsidR="005204A8" w:rsidRDefault="005204A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占全部产品总资</w:t>
            </w:r>
            <w:r>
              <w:rPr>
                <w:rFonts w:ascii="宋体" w:hAnsi="宋体" w:cs="宋体" w:hint="eastAsia"/>
                <w:kern w:val="0"/>
              </w:rPr>
              <w:lastRenderedPageBreak/>
              <w:t>产的比例（%）</w:t>
            </w:r>
          </w:p>
        </w:tc>
        <w:tc>
          <w:tcPr>
            <w:tcW w:w="1520" w:type="dxa"/>
            <w:vAlign w:val="center"/>
          </w:tcPr>
          <w:p w:rsidR="005204A8" w:rsidRDefault="005204A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穿透后金额</w:t>
            </w:r>
          </w:p>
          <w:p w:rsidR="005204A8" w:rsidRDefault="005204A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（万元）</w:t>
            </w:r>
          </w:p>
        </w:tc>
        <w:tc>
          <w:tcPr>
            <w:tcW w:w="1740" w:type="dxa"/>
          </w:tcPr>
          <w:p w:rsidR="005204A8" w:rsidRDefault="005204A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占全部产品总资</w:t>
            </w:r>
            <w:r>
              <w:rPr>
                <w:rFonts w:ascii="宋体" w:hAnsi="宋体" w:cs="宋体" w:hint="eastAsia"/>
                <w:kern w:val="0"/>
              </w:rPr>
              <w:lastRenderedPageBreak/>
              <w:t>产的比例（%）</w:t>
            </w:r>
          </w:p>
        </w:tc>
      </w:tr>
      <w:tr w:rsidR="00CC6956" w:rsidTr="008C4CB4">
        <w:trPr>
          <w:trHeight w:val="285"/>
          <w:jc w:val="center"/>
        </w:trPr>
        <w:tc>
          <w:tcPr>
            <w:tcW w:w="2547" w:type="dxa"/>
            <w:vAlign w:val="center"/>
          </w:tcPr>
          <w:p w:rsidR="00CC6956" w:rsidRDefault="00CC695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现金及银行存款</w:t>
            </w:r>
          </w:p>
        </w:tc>
        <w:tc>
          <w:tcPr>
            <w:tcW w:w="1520" w:type="dxa"/>
            <w:vAlign w:val="center"/>
          </w:tcPr>
          <w:p w:rsidR="00CC6956" w:rsidRDefault="008C4CB4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8C4CB4">
              <w:rPr>
                <w:rFonts w:ascii="宋体" w:hAnsi="宋体" w:cs="宋体"/>
                <w:kern w:val="0"/>
              </w:rPr>
              <w:t>186,083.75</w:t>
            </w:r>
          </w:p>
        </w:tc>
        <w:tc>
          <w:tcPr>
            <w:tcW w:w="1740" w:type="dxa"/>
            <w:vAlign w:val="center"/>
          </w:tcPr>
          <w:p w:rsidR="00CC6956" w:rsidRDefault="008C4CB4" w:rsidP="008048AE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12.9</w:t>
            </w:r>
          </w:p>
        </w:tc>
        <w:tc>
          <w:tcPr>
            <w:tcW w:w="1520" w:type="dxa"/>
            <w:vAlign w:val="center"/>
          </w:tcPr>
          <w:p w:rsidR="00CC6956" w:rsidRDefault="008C4CB4" w:rsidP="00CC6956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8C4CB4">
              <w:rPr>
                <w:rFonts w:ascii="宋体" w:hAnsi="宋体" w:cs="宋体"/>
                <w:kern w:val="0"/>
              </w:rPr>
              <w:t>186,083.75</w:t>
            </w:r>
          </w:p>
        </w:tc>
        <w:tc>
          <w:tcPr>
            <w:tcW w:w="1740" w:type="dxa"/>
            <w:vAlign w:val="center"/>
          </w:tcPr>
          <w:p w:rsidR="00CC6956" w:rsidRDefault="008C4CB4" w:rsidP="00CC69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12.9</w:t>
            </w:r>
          </w:p>
        </w:tc>
      </w:tr>
      <w:tr w:rsidR="00CC6956" w:rsidTr="008C4CB4">
        <w:trPr>
          <w:trHeight w:val="285"/>
          <w:jc w:val="center"/>
        </w:trPr>
        <w:tc>
          <w:tcPr>
            <w:tcW w:w="2547" w:type="dxa"/>
            <w:vAlign w:val="center"/>
          </w:tcPr>
          <w:p w:rsidR="00CC6956" w:rsidRDefault="00CC695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520" w:type="dxa"/>
            <w:vAlign w:val="center"/>
          </w:tcPr>
          <w:p w:rsidR="00CC6956" w:rsidRDefault="00CC695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CC6956" w:rsidRDefault="00CC695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20" w:type="dxa"/>
            <w:vAlign w:val="center"/>
          </w:tcPr>
          <w:p w:rsidR="00CC6956" w:rsidRDefault="00CC6956" w:rsidP="00CC6956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CC6956" w:rsidRDefault="00CC6956" w:rsidP="00CC69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CC6956" w:rsidTr="008C4CB4">
        <w:trPr>
          <w:trHeight w:val="285"/>
          <w:jc w:val="center"/>
        </w:trPr>
        <w:tc>
          <w:tcPr>
            <w:tcW w:w="2547" w:type="dxa"/>
            <w:vAlign w:val="center"/>
          </w:tcPr>
          <w:p w:rsidR="00CC6956" w:rsidRDefault="00CC695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拆放同业及买入返售</w:t>
            </w:r>
          </w:p>
        </w:tc>
        <w:tc>
          <w:tcPr>
            <w:tcW w:w="1520" w:type="dxa"/>
            <w:vAlign w:val="center"/>
          </w:tcPr>
          <w:p w:rsidR="00CC6956" w:rsidRDefault="00CC695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CC6956" w:rsidRDefault="00CC695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20" w:type="dxa"/>
            <w:vAlign w:val="center"/>
          </w:tcPr>
          <w:p w:rsidR="00CC6956" w:rsidRDefault="00CC6956" w:rsidP="00CC6956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CC6956" w:rsidRDefault="00CC6956" w:rsidP="00CC69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CC6956" w:rsidTr="008C4CB4">
        <w:trPr>
          <w:trHeight w:val="285"/>
          <w:jc w:val="center"/>
        </w:trPr>
        <w:tc>
          <w:tcPr>
            <w:tcW w:w="2547" w:type="dxa"/>
            <w:vAlign w:val="center"/>
          </w:tcPr>
          <w:p w:rsidR="00CC6956" w:rsidRDefault="00CC695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520" w:type="dxa"/>
            <w:vAlign w:val="center"/>
          </w:tcPr>
          <w:p w:rsidR="00CC6956" w:rsidRDefault="008C4CB4" w:rsidP="003E6CDF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8C4CB4">
              <w:rPr>
                <w:rFonts w:ascii="宋体" w:hAnsi="宋体" w:cs="宋体"/>
                <w:kern w:val="0"/>
              </w:rPr>
              <w:t>157,498.27</w:t>
            </w:r>
          </w:p>
        </w:tc>
        <w:tc>
          <w:tcPr>
            <w:tcW w:w="1740" w:type="dxa"/>
            <w:vAlign w:val="center"/>
          </w:tcPr>
          <w:p w:rsidR="00CC6956" w:rsidRDefault="008C4CB4" w:rsidP="003E6CD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10.92</w:t>
            </w:r>
          </w:p>
        </w:tc>
        <w:tc>
          <w:tcPr>
            <w:tcW w:w="1520" w:type="dxa"/>
            <w:vAlign w:val="center"/>
          </w:tcPr>
          <w:p w:rsidR="00CC6956" w:rsidRDefault="008C4CB4" w:rsidP="00CC6956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8C4CB4">
              <w:rPr>
                <w:rFonts w:ascii="宋体" w:hAnsi="宋体" w:cs="宋体"/>
                <w:kern w:val="0"/>
              </w:rPr>
              <w:t>157,498.27</w:t>
            </w:r>
          </w:p>
        </w:tc>
        <w:tc>
          <w:tcPr>
            <w:tcW w:w="1740" w:type="dxa"/>
            <w:vAlign w:val="center"/>
          </w:tcPr>
          <w:p w:rsidR="00CC6956" w:rsidRDefault="008C4CB4" w:rsidP="00CC69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10.92</w:t>
            </w:r>
          </w:p>
        </w:tc>
      </w:tr>
      <w:tr w:rsidR="00CC6956" w:rsidTr="008C4CB4">
        <w:trPr>
          <w:trHeight w:val="285"/>
          <w:jc w:val="center"/>
        </w:trPr>
        <w:tc>
          <w:tcPr>
            <w:tcW w:w="2547" w:type="dxa"/>
            <w:vAlign w:val="center"/>
          </w:tcPr>
          <w:p w:rsidR="00CC6956" w:rsidRDefault="00CC695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520" w:type="dxa"/>
            <w:vAlign w:val="center"/>
          </w:tcPr>
          <w:p w:rsidR="00CC6956" w:rsidRDefault="00CC695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CC6956" w:rsidRDefault="00CC695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20" w:type="dxa"/>
            <w:vAlign w:val="center"/>
          </w:tcPr>
          <w:p w:rsidR="00CC6956" w:rsidRDefault="00CC6956" w:rsidP="00CC6956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CC6956" w:rsidRDefault="00CC6956" w:rsidP="00CC69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CC6956" w:rsidTr="008C4CB4">
        <w:trPr>
          <w:trHeight w:val="285"/>
          <w:jc w:val="center"/>
        </w:trPr>
        <w:tc>
          <w:tcPr>
            <w:tcW w:w="2547" w:type="dxa"/>
            <w:vAlign w:val="center"/>
          </w:tcPr>
          <w:p w:rsidR="00CC6956" w:rsidRDefault="00CC695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520" w:type="dxa"/>
            <w:vAlign w:val="center"/>
          </w:tcPr>
          <w:p w:rsidR="00CC6956" w:rsidRDefault="00CC695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CC6956" w:rsidRDefault="00CC695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20" w:type="dxa"/>
            <w:vAlign w:val="center"/>
          </w:tcPr>
          <w:p w:rsidR="00CC6956" w:rsidRDefault="00CC6956" w:rsidP="00CC6956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CC6956" w:rsidRDefault="00CC6956" w:rsidP="00CC69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CC6956" w:rsidTr="008C4CB4">
        <w:trPr>
          <w:trHeight w:val="285"/>
          <w:jc w:val="center"/>
        </w:trPr>
        <w:tc>
          <w:tcPr>
            <w:tcW w:w="2547" w:type="dxa"/>
            <w:vAlign w:val="center"/>
          </w:tcPr>
          <w:p w:rsidR="00CC6956" w:rsidRDefault="00CC695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520" w:type="dxa"/>
            <w:vAlign w:val="center"/>
          </w:tcPr>
          <w:p w:rsidR="00CC6956" w:rsidRDefault="008C4CB4" w:rsidP="003E6CDF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8C4CB4">
              <w:rPr>
                <w:rFonts w:ascii="宋体" w:hAnsi="宋体" w:cs="宋体"/>
                <w:kern w:val="0"/>
              </w:rPr>
              <w:t>747989.38</w:t>
            </w:r>
          </w:p>
        </w:tc>
        <w:tc>
          <w:tcPr>
            <w:tcW w:w="1740" w:type="dxa"/>
            <w:vAlign w:val="center"/>
          </w:tcPr>
          <w:p w:rsidR="00CC6956" w:rsidRDefault="00CC6956" w:rsidP="008C4CB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</w:t>
            </w:r>
            <w:r w:rsidR="008C4CB4">
              <w:rPr>
                <w:rFonts w:ascii="宋体" w:hAnsi="宋体" w:cs="宋体" w:hint="eastAsia"/>
                <w:kern w:val="0"/>
              </w:rPr>
              <w:t>1.86</w:t>
            </w:r>
          </w:p>
        </w:tc>
        <w:tc>
          <w:tcPr>
            <w:tcW w:w="1520" w:type="dxa"/>
            <w:vAlign w:val="center"/>
          </w:tcPr>
          <w:p w:rsidR="00CC6956" w:rsidRDefault="008C4CB4" w:rsidP="00CC6956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8C4CB4">
              <w:rPr>
                <w:rFonts w:ascii="宋体" w:hAnsi="宋体" w:cs="宋体"/>
                <w:kern w:val="0"/>
              </w:rPr>
              <w:t>747989.38</w:t>
            </w:r>
          </w:p>
        </w:tc>
        <w:tc>
          <w:tcPr>
            <w:tcW w:w="1740" w:type="dxa"/>
            <w:vAlign w:val="center"/>
          </w:tcPr>
          <w:p w:rsidR="00CC6956" w:rsidRDefault="008C4CB4" w:rsidP="00CC69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51.86</w:t>
            </w:r>
          </w:p>
        </w:tc>
      </w:tr>
      <w:tr w:rsidR="00CC6956" w:rsidTr="008C4CB4">
        <w:trPr>
          <w:trHeight w:val="285"/>
          <w:jc w:val="center"/>
        </w:trPr>
        <w:tc>
          <w:tcPr>
            <w:tcW w:w="2547" w:type="dxa"/>
            <w:vAlign w:val="center"/>
          </w:tcPr>
          <w:p w:rsidR="00CC6956" w:rsidRDefault="00CC695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520" w:type="dxa"/>
            <w:vAlign w:val="center"/>
          </w:tcPr>
          <w:p w:rsidR="00CC6956" w:rsidRDefault="00CC695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CC6956" w:rsidRDefault="00CC695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20" w:type="dxa"/>
            <w:vAlign w:val="center"/>
          </w:tcPr>
          <w:p w:rsidR="00CC6956" w:rsidRDefault="00CC6956" w:rsidP="00CC6956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CC6956" w:rsidRDefault="00CC6956" w:rsidP="00CC69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CC6956" w:rsidTr="008C4CB4">
        <w:trPr>
          <w:trHeight w:val="285"/>
          <w:jc w:val="center"/>
        </w:trPr>
        <w:tc>
          <w:tcPr>
            <w:tcW w:w="2547" w:type="dxa"/>
            <w:vAlign w:val="center"/>
          </w:tcPr>
          <w:p w:rsidR="00CC6956" w:rsidRDefault="00CC695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520" w:type="dxa"/>
            <w:vAlign w:val="center"/>
          </w:tcPr>
          <w:p w:rsidR="00CC6956" w:rsidRDefault="00CC695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CC6956" w:rsidRDefault="00CC695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20" w:type="dxa"/>
            <w:vAlign w:val="center"/>
          </w:tcPr>
          <w:p w:rsidR="00CC6956" w:rsidRDefault="00CC6956" w:rsidP="00CC6956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CC6956" w:rsidRDefault="00CC6956" w:rsidP="00CC69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CC6956" w:rsidTr="008C4CB4">
        <w:trPr>
          <w:trHeight w:val="285"/>
          <w:jc w:val="center"/>
        </w:trPr>
        <w:tc>
          <w:tcPr>
            <w:tcW w:w="2547" w:type="dxa"/>
            <w:vAlign w:val="center"/>
          </w:tcPr>
          <w:p w:rsidR="00CC6956" w:rsidRDefault="00CC695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520" w:type="dxa"/>
            <w:vAlign w:val="center"/>
          </w:tcPr>
          <w:p w:rsidR="00CC6956" w:rsidRDefault="00CC695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CC6956" w:rsidRDefault="00CC695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20" w:type="dxa"/>
            <w:vAlign w:val="center"/>
          </w:tcPr>
          <w:p w:rsidR="00CC6956" w:rsidRDefault="00CC6956" w:rsidP="00CC6956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CC6956" w:rsidRDefault="00CC6956" w:rsidP="00CC69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CC6956" w:rsidTr="008C4CB4">
        <w:trPr>
          <w:trHeight w:val="285"/>
          <w:jc w:val="center"/>
        </w:trPr>
        <w:tc>
          <w:tcPr>
            <w:tcW w:w="2547" w:type="dxa"/>
            <w:vAlign w:val="center"/>
          </w:tcPr>
          <w:p w:rsidR="00CC6956" w:rsidRDefault="00CC695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520" w:type="dxa"/>
            <w:vAlign w:val="center"/>
          </w:tcPr>
          <w:p w:rsidR="00CC6956" w:rsidRDefault="00CC695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CC6956" w:rsidRDefault="00CC695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20" w:type="dxa"/>
            <w:vAlign w:val="center"/>
          </w:tcPr>
          <w:p w:rsidR="00CC6956" w:rsidRDefault="00CC6956" w:rsidP="00CC6956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CC6956" w:rsidRDefault="00CC6956" w:rsidP="00CC69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CC6956" w:rsidTr="008C4CB4">
        <w:trPr>
          <w:trHeight w:val="285"/>
          <w:jc w:val="center"/>
        </w:trPr>
        <w:tc>
          <w:tcPr>
            <w:tcW w:w="2547" w:type="dxa"/>
            <w:vAlign w:val="center"/>
          </w:tcPr>
          <w:p w:rsidR="00CC6956" w:rsidRDefault="00CC695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520" w:type="dxa"/>
            <w:vAlign w:val="center"/>
          </w:tcPr>
          <w:p w:rsidR="00CC6956" w:rsidRDefault="00CC695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CC6956" w:rsidRDefault="00CC695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20" w:type="dxa"/>
            <w:vAlign w:val="center"/>
          </w:tcPr>
          <w:p w:rsidR="00CC6956" w:rsidRDefault="00CC6956" w:rsidP="00CC6956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CC6956" w:rsidRDefault="00CC6956" w:rsidP="00CC69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8C4CB4" w:rsidTr="008C4CB4">
        <w:trPr>
          <w:trHeight w:val="285"/>
          <w:jc w:val="center"/>
        </w:trPr>
        <w:tc>
          <w:tcPr>
            <w:tcW w:w="2547" w:type="dxa"/>
            <w:vAlign w:val="center"/>
          </w:tcPr>
          <w:p w:rsidR="008C4CB4" w:rsidRDefault="008C4CB4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520" w:type="dxa"/>
            <w:vAlign w:val="center"/>
          </w:tcPr>
          <w:p w:rsidR="008C4CB4" w:rsidRDefault="008C4CB4" w:rsidP="003E6CDF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8C4CB4">
              <w:rPr>
                <w:rFonts w:ascii="宋体" w:hAnsi="宋体" w:cs="宋体"/>
                <w:kern w:val="0"/>
              </w:rPr>
              <w:t>350,698.88</w:t>
            </w:r>
          </w:p>
        </w:tc>
        <w:tc>
          <w:tcPr>
            <w:tcW w:w="1740" w:type="dxa"/>
            <w:vAlign w:val="center"/>
          </w:tcPr>
          <w:p w:rsidR="008C4CB4" w:rsidRDefault="008C4CB4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24.32</w:t>
            </w:r>
          </w:p>
        </w:tc>
        <w:tc>
          <w:tcPr>
            <w:tcW w:w="1520" w:type="dxa"/>
            <w:vAlign w:val="center"/>
          </w:tcPr>
          <w:p w:rsidR="008C4CB4" w:rsidRDefault="008C4CB4" w:rsidP="005E66A4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8C4CB4">
              <w:rPr>
                <w:rFonts w:ascii="宋体" w:hAnsi="宋体" w:cs="宋体"/>
                <w:kern w:val="0"/>
              </w:rPr>
              <w:t>350,698.88</w:t>
            </w:r>
          </w:p>
        </w:tc>
        <w:tc>
          <w:tcPr>
            <w:tcW w:w="1740" w:type="dxa"/>
            <w:vAlign w:val="center"/>
          </w:tcPr>
          <w:p w:rsidR="008C4CB4" w:rsidRDefault="008C4CB4" w:rsidP="005E66A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24.32</w:t>
            </w:r>
          </w:p>
        </w:tc>
      </w:tr>
      <w:tr w:rsidR="00CC6956" w:rsidTr="008C4CB4">
        <w:trPr>
          <w:trHeight w:val="285"/>
          <w:jc w:val="center"/>
        </w:trPr>
        <w:tc>
          <w:tcPr>
            <w:tcW w:w="2547" w:type="dxa"/>
            <w:vAlign w:val="center"/>
          </w:tcPr>
          <w:p w:rsidR="00CC6956" w:rsidRDefault="00CC6956" w:rsidP="00572B33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520" w:type="dxa"/>
            <w:vAlign w:val="center"/>
          </w:tcPr>
          <w:p w:rsidR="00CC6956" w:rsidRDefault="00CC695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CC6956" w:rsidRDefault="00CC695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20" w:type="dxa"/>
            <w:vAlign w:val="center"/>
          </w:tcPr>
          <w:p w:rsidR="00CC6956" w:rsidRDefault="00CC6956" w:rsidP="00CC6956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CC6956" w:rsidRDefault="00CC6956" w:rsidP="00CC69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CC6956" w:rsidTr="008C4CB4">
        <w:trPr>
          <w:trHeight w:val="285"/>
          <w:jc w:val="center"/>
        </w:trPr>
        <w:tc>
          <w:tcPr>
            <w:tcW w:w="2547" w:type="dxa"/>
            <w:vAlign w:val="center"/>
          </w:tcPr>
          <w:p w:rsidR="00CC6956" w:rsidRDefault="00CC6956" w:rsidP="00572B33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520" w:type="dxa"/>
            <w:vAlign w:val="center"/>
          </w:tcPr>
          <w:p w:rsidR="00CC6956" w:rsidRDefault="00CC695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CC6956" w:rsidRDefault="00CC6956" w:rsidP="00311E4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20" w:type="dxa"/>
            <w:vAlign w:val="center"/>
          </w:tcPr>
          <w:p w:rsidR="00CC6956" w:rsidRDefault="00CC6956" w:rsidP="00CC6956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CC6956" w:rsidRDefault="00CC6956" w:rsidP="00CC69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CC6956" w:rsidTr="008C4CB4">
        <w:trPr>
          <w:trHeight w:val="285"/>
          <w:jc w:val="center"/>
        </w:trPr>
        <w:tc>
          <w:tcPr>
            <w:tcW w:w="2547" w:type="dxa"/>
            <w:vAlign w:val="center"/>
          </w:tcPr>
          <w:p w:rsidR="00CC6956" w:rsidRDefault="00CC6956" w:rsidP="00572B33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520" w:type="dxa"/>
            <w:vAlign w:val="center"/>
          </w:tcPr>
          <w:p w:rsidR="00CC6956" w:rsidRDefault="00CC695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CC6956" w:rsidRDefault="00CC695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20" w:type="dxa"/>
            <w:vAlign w:val="center"/>
          </w:tcPr>
          <w:p w:rsidR="00CC6956" w:rsidRDefault="00CC6956" w:rsidP="00CC6956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CC6956" w:rsidRDefault="00CC6956" w:rsidP="00CC69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CC6956" w:rsidTr="008C4CB4">
        <w:trPr>
          <w:trHeight w:val="285"/>
          <w:jc w:val="center"/>
        </w:trPr>
        <w:tc>
          <w:tcPr>
            <w:tcW w:w="2547" w:type="dxa"/>
            <w:vAlign w:val="center"/>
          </w:tcPr>
          <w:p w:rsidR="00CC6956" w:rsidRDefault="00CC6956" w:rsidP="00572B33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520" w:type="dxa"/>
            <w:vAlign w:val="center"/>
          </w:tcPr>
          <w:p w:rsidR="00CC6956" w:rsidRDefault="008C4CB4" w:rsidP="008048AE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8C4CB4">
              <w:rPr>
                <w:rFonts w:ascii="宋体" w:hAnsi="宋体" w:cs="宋体"/>
                <w:kern w:val="0"/>
              </w:rPr>
              <w:t>1,442,270.27</w:t>
            </w:r>
          </w:p>
        </w:tc>
        <w:tc>
          <w:tcPr>
            <w:tcW w:w="1740" w:type="dxa"/>
            <w:vAlign w:val="center"/>
          </w:tcPr>
          <w:p w:rsidR="00CC6956" w:rsidRDefault="00CC695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520" w:type="dxa"/>
            <w:vAlign w:val="center"/>
          </w:tcPr>
          <w:p w:rsidR="00CC6956" w:rsidRDefault="008C4CB4" w:rsidP="00CC6956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8C4CB4">
              <w:rPr>
                <w:rFonts w:ascii="宋体" w:hAnsi="宋体" w:cs="宋体"/>
                <w:kern w:val="0"/>
              </w:rPr>
              <w:t>1,442,270.27</w:t>
            </w:r>
          </w:p>
        </w:tc>
        <w:tc>
          <w:tcPr>
            <w:tcW w:w="1740" w:type="dxa"/>
            <w:vAlign w:val="center"/>
          </w:tcPr>
          <w:p w:rsidR="00CC6956" w:rsidRDefault="00CC6956" w:rsidP="00CC695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72B33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72B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72B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72B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72B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8C4CB4" w:rsidRPr="00437C59" w:rsidTr="00572B33">
        <w:trPr>
          <w:trHeight w:val="496"/>
          <w:jc w:val="center"/>
        </w:trPr>
        <w:tc>
          <w:tcPr>
            <w:tcW w:w="1349" w:type="dxa"/>
            <w:vAlign w:val="center"/>
          </w:tcPr>
          <w:p w:rsidR="008C4CB4" w:rsidRPr="00C720CE" w:rsidRDefault="008C4CB4" w:rsidP="00572B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8C4CB4" w:rsidRPr="00E077F7" w:rsidRDefault="008C4CB4" w:rsidP="003535FC">
            <w:pPr>
              <w:rPr>
                <w:rFonts w:hint="eastAsia"/>
              </w:rPr>
            </w:pPr>
            <w:r w:rsidRPr="00E077F7">
              <w:rPr>
                <w:rFonts w:hint="eastAsia"/>
              </w:rPr>
              <w:t>浙江</w:t>
            </w:r>
            <w:r w:rsidRPr="00E077F7">
              <w:rPr>
                <w:rFonts w:hint="eastAsia"/>
              </w:rPr>
              <w:t>-</w:t>
            </w:r>
            <w:r w:rsidRPr="00E077F7">
              <w:rPr>
                <w:rFonts w:hint="eastAsia"/>
              </w:rPr>
              <w:t>建信天添益</w:t>
            </w:r>
            <w:r w:rsidRPr="00E077F7">
              <w:rPr>
                <w:rFonts w:hint="eastAsia"/>
              </w:rPr>
              <w:t>C</w:t>
            </w:r>
          </w:p>
        </w:tc>
        <w:tc>
          <w:tcPr>
            <w:tcW w:w="1841" w:type="dxa"/>
          </w:tcPr>
          <w:p w:rsidR="008C4CB4" w:rsidRPr="004B2105" w:rsidRDefault="008C4CB4" w:rsidP="00990175">
            <w:r w:rsidRPr="004B2105">
              <w:t xml:space="preserve"> 1,000,000,000.00 </w:t>
            </w:r>
          </w:p>
        </w:tc>
        <w:tc>
          <w:tcPr>
            <w:tcW w:w="1859" w:type="dxa"/>
          </w:tcPr>
          <w:p w:rsidR="008C4CB4" w:rsidRPr="002E4471" w:rsidRDefault="008C4CB4" w:rsidP="00394430">
            <w:r w:rsidRPr="002E4471">
              <w:t>7.96%</w:t>
            </w:r>
          </w:p>
        </w:tc>
      </w:tr>
      <w:tr w:rsidR="008C4CB4" w:rsidRPr="00437C59" w:rsidTr="00572B33">
        <w:trPr>
          <w:trHeight w:val="496"/>
          <w:jc w:val="center"/>
        </w:trPr>
        <w:tc>
          <w:tcPr>
            <w:tcW w:w="1349" w:type="dxa"/>
            <w:vAlign w:val="center"/>
          </w:tcPr>
          <w:p w:rsidR="008C4CB4" w:rsidRPr="00C720CE" w:rsidRDefault="008C4CB4" w:rsidP="00572B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8C4CB4" w:rsidRPr="00E077F7" w:rsidRDefault="008C4CB4" w:rsidP="003535FC">
            <w:pPr>
              <w:rPr>
                <w:rFonts w:hint="eastAsia"/>
              </w:rPr>
            </w:pPr>
            <w:r w:rsidRPr="00E077F7">
              <w:rPr>
                <w:rFonts w:hint="eastAsia"/>
              </w:rPr>
              <w:t>浙江</w:t>
            </w:r>
            <w:r w:rsidRPr="00E077F7">
              <w:rPr>
                <w:rFonts w:hint="eastAsia"/>
              </w:rPr>
              <w:t>-</w:t>
            </w:r>
            <w:r w:rsidRPr="00E077F7">
              <w:rPr>
                <w:rFonts w:hint="eastAsia"/>
              </w:rPr>
              <w:t>建信基金现金增利</w:t>
            </w:r>
          </w:p>
        </w:tc>
        <w:tc>
          <w:tcPr>
            <w:tcW w:w="1841" w:type="dxa"/>
          </w:tcPr>
          <w:p w:rsidR="008C4CB4" w:rsidRPr="004B2105" w:rsidRDefault="008C4CB4" w:rsidP="00990175">
            <w:r w:rsidRPr="004B2105">
              <w:t xml:space="preserve"> 1,000,000,000.00 </w:t>
            </w:r>
          </w:p>
        </w:tc>
        <w:tc>
          <w:tcPr>
            <w:tcW w:w="1859" w:type="dxa"/>
          </w:tcPr>
          <w:p w:rsidR="008C4CB4" w:rsidRPr="002E4471" w:rsidRDefault="008C4CB4" w:rsidP="00394430">
            <w:r w:rsidRPr="002E4471">
              <w:t>7.96%</w:t>
            </w:r>
          </w:p>
        </w:tc>
      </w:tr>
      <w:tr w:rsidR="008C4CB4" w:rsidRPr="00437C59" w:rsidTr="00572B33">
        <w:trPr>
          <w:trHeight w:val="496"/>
          <w:jc w:val="center"/>
        </w:trPr>
        <w:tc>
          <w:tcPr>
            <w:tcW w:w="1349" w:type="dxa"/>
            <w:vAlign w:val="center"/>
          </w:tcPr>
          <w:p w:rsidR="008C4CB4" w:rsidRPr="00C720CE" w:rsidRDefault="008C4CB4" w:rsidP="00572B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8C4CB4" w:rsidRPr="00E077F7" w:rsidRDefault="008C4CB4" w:rsidP="003535FC">
            <w:pPr>
              <w:rPr>
                <w:rFonts w:hint="eastAsia"/>
              </w:rPr>
            </w:pPr>
            <w:r w:rsidRPr="00E077F7">
              <w:rPr>
                <w:rFonts w:hint="eastAsia"/>
              </w:rPr>
              <w:t>浙江</w:t>
            </w:r>
            <w:r w:rsidRPr="00E077F7">
              <w:rPr>
                <w:rFonts w:hint="eastAsia"/>
              </w:rPr>
              <w:t>-</w:t>
            </w:r>
            <w:r w:rsidRPr="00E077F7">
              <w:rPr>
                <w:rFonts w:hint="eastAsia"/>
              </w:rPr>
              <w:t>建信天添益</w:t>
            </w:r>
            <w:r w:rsidRPr="00E077F7">
              <w:rPr>
                <w:rFonts w:hint="eastAsia"/>
              </w:rPr>
              <w:t>C</w:t>
            </w:r>
          </w:p>
        </w:tc>
        <w:tc>
          <w:tcPr>
            <w:tcW w:w="1841" w:type="dxa"/>
          </w:tcPr>
          <w:p w:rsidR="008C4CB4" w:rsidRPr="004B2105" w:rsidRDefault="008C4CB4" w:rsidP="00990175">
            <w:r w:rsidRPr="004B2105">
              <w:t xml:space="preserve"> 1,000,000,000.00 </w:t>
            </w:r>
          </w:p>
        </w:tc>
        <w:tc>
          <w:tcPr>
            <w:tcW w:w="1859" w:type="dxa"/>
          </w:tcPr>
          <w:p w:rsidR="008C4CB4" w:rsidRPr="002E4471" w:rsidRDefault="008C4CB4" w:rsidP="00394430">
            <w:r w:rsidRPr="002E4471">
              <w:t>7.96%</w:t>
            </w:r>
          </w:p>
        </w:tc>
      </w:tr>
      <w:tr w:rsidR="008C4CB4" w:rsidRPr="00437C59" w:rsidTr="00572B33">
        <w:trPr>
          <w:trHeight w:val="496"/>
          <w:jc w:val="center"/>
        </w:trPr>
        <w:tc>
          <w:tcPr>
            <w:tcW w:w="1349" w:type="dxa"/>
            <w:vAlign w:val="center"/>
          </w:tcPr>
          <w:p w:rsidR="008C4CB4" w:rsidRPr="00C720CE" w:rsidRDefault="008C4CB4" w:rsidP="00572B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8C4CB4" w:rsidRPr="00E077F7" w:rsidRDefault="008C4CB4" w:rsidP="003535FC">
            <w:pPr>
              <w:rPr>
                <w:rFonts w:hint="eastAsia"/>
              </w:rPr>
            </w:pPr>
            <w:r w:rsidRPr="00E077F7">
              <w:rPr>
                <w:rFonts w:hint="eastAsia"/>
              </w:rPr>
              <w:t>浙江乌镇互联网特色小镇投资建设有限公司</w:t>
            </w:r>
          </w:p>
        </w:tc>
        <w:tc>
          <w:tcPr>
            <w:tcW w:w="1841" w:type="dxa"/>
          </w:tcPr>
          <w:p w:rsidR="008C4CB4" w:rsidRPr="004B2105" w:rsidRDefault="008C4CB4" w:rsidP="00990175">
            <w:r w:rsidRPr="004B2105">
              <w:t xml:space="preserve"> 800,000,000.00 </w:t>
            </w:r>
          </w:p>
        </w:tc>
        <w:tc>
          <w:tcPr>
            <w:tcW w:w="1859" w:type="dxa"/>
          </w:tcPr>
          <w:p w:rsidR="008C4CB4" w:rsidRPr="002E4471" w:rsidRDefault="008C4CB4" w:rsidP="00394430">
            <w:r w:rsidRPr="002E4471">
              <w:t>6.37%</w:t>
            </w:r>
          </w:p>
        </w:tc>
      </w:tr>
      <w:tr w:rsidR="008C4CB4" w:rsidRPr="00437C59" w:rsidTr="00572B33">
        <w:trPr>
          <w:trHeight w:val="496"/>
          <w:jc w:val="center"/>
        </w:trPr>
        <w:tc>
          <w:tcPr>
            <w:tcW w:w="1349" w:type="dxa"/>
            <w:vAlign w:val="center"/>
          </w:tcPr>
          <w:p w:rsidR="008C4CB4" w:rsidRPr="00C720CE" w:rsidRDefault="008C4CB4" w:rsidP="00572B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8C4CB4" w:rsidRPr="00E077F7" w:rsidRDefault="008C4CB4" w:rsidP="003535FC">
            <w:pPr>
              <w:rPr>
                <w:rFonts w:hint="eastAsia"/>
              </w:rPr>
            </w:pPr>
            <w:r w:rsidRPr="00E077F7">
              <w:rPr>
                <w:rFonts w:hint="eastAsia"/>
              </w:rPr>
              <w:t>温州市</w:t>
            </w:r>
            <w:proofErr w:type="gramStart"/>
            <w:r w:rsidRPr="00E077F7">
              <w:rPr>
                <w:rFonts w:hint="eastAsia"/>
              </w:rPr>
              <w:t>瓯</w:t>
            </w:r>
            <w:proofErr w:type="gramEnd"/>
            <w:r w:rsidRPr="00E077F7">
              <w:rPr>
                <w:rFonts w:hint="eastAsia"/>
              </w:rPr>
              <w:t>海新城建设开发有限公司</w:t>
            </w:r>
          </w:p>
        </w:tc>
        <w:tc>
          <w:tcPr>
            <w:tcW w:w="1841" w:type="dxa"/>
          </w:tcPr>
          <w:p w:rsidR="008C4CB4" w:rsidRPr="004B2105" w:rsidRDefault="008C4CB4" w:rsidP="00990175">
            <w:r w:rsidRPr="004B2105">
              <w:t xml:space="preserve"> 600,000,000.00 </w:t>
            </w:r>
          </w:p>
        </w:tc>
        <w:tc>
          <w:tcPr>
            <w:tcW w:w="1859" w:type="dxa"/>
          </w:tcPr>
          <w:p w:rsidR="008C4CB4" w:rsidRPr="002E4471" w:rsidRDefault="008C4CB4" w:rsidP="00394430">
            <w:r w:rsidRPr="002E4471">
              <w:t>4.78%</w:t>
            </w:r>
          </w:p>
        </w:tc>
      </w:tr>
      <w:tr w:rsidR="008C4CB4" w:rsidRPr="00437C59" w:rsidTr="00572B33">
        <w:trPr>
          <w:trHeight w:val="496"/>
          <w:jc w:val="center"/>
        </w:trPr>
        <w:tc>
          <w:tcPr>
            <w:tcW w:w="1349" w:type="dxa"/>
            <w:vAlign w:val="center"/>
          </w:tcPr>
          <w:p w:rsidR="008C4CB4" w:rsidRPr="00C720CE" w:rsidRDefault="008C4CB4" w:rsidP="00572B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8C4CB4" w:rsidRPr="00E077F7" w:rsidRDefault="008C4CB4" w:rsidP="003535FC">
            <w:pPr>
              <w:rPr>
                <w:rFonts w:hint="eastAsia"/>
              </w:rPr>
            </w:pPr>
            <w:r w:rsidRPr="00E077F7">
              <w:rPr>
                <w:rFonts w:hint="eastAsia"/>
              </w:rPr>
              <w:t>武义县国有资产管理运营有限公司</w:t>
            </w:r>
          </w:p>
        </w:tc>
        <w:tc>
          <w:tcPr>
            <w:tcW w:w="1841" w:type="dxa"/>
          </w:tcPr>
          <w:p w:rsidR="008C4CB4" w:rsidRPr="004B2105" w:rsidRDefault="008C4CB4" w:rsidP="00990175">
            <w:r w:rsidRPr="004B2105">
              <w:t xml:space="preserve"> 520,000,000.00 </w:t>
            </w:r>
          </w:p>
        </w:tc>
        <w:tc>
          <w:tcPr>
            <w:tcW w:w="1859" w:type="dxa"/>
          </w:tcPr>
          <w:p w:rsidR="008C4CB4" w:rsidRPr="002E4471" w:rsidRDefault="008C4CB4" w:rsidP="00394430">
            <w:r w:rsidRPr="002E4471">
              <w:t>4.14%</w:t>
            </w:r>
          </w:p>
        </w:tc>
      </w:tr>
      <w:tr w:rsidR="008C4CB4" w:rsidRPr="00437C59" w:rsidTr="00572B33">
        <w:trPr>
          <w:trHeight w:val="496"/>
          <w:jc w:val="center"/>
        </w:trPr>
        <w:tc>
          <w:tcPr>
            <w:tcW w:w="1349" w:type="dxa"/>
            <w:vAlign w:val="center"/>
          </w:tcPr>
          <w:p w:rsidR="008C4CB4" w:rsidRPr="00C720CE" w:rsidRDefault="008C4CB4" w:rsidP="00572B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8C4CB4" w:rsidRPr="00E077F7" w:rsidRDefault="008C4CB4" w:rsidP="003535FC">
            <w:pPr>
              <w:rPr>
                <w:rFonts w:hint="eastAsia"/>
              </w:rPr>
            </w:pPr>
            <w:r w:rsidRPr="00E077F7">
              <w:rPr>
                <w:rFonts w:hint="eastAsia"/>
              </w:rPr>
              <w:t>乐清市国有投资有限公司</w:t>
            </w:r>
          </w:p>
        </w:tc>
        <w:tc>
          <w:tcPr>
            <w:tcW w:w="1841" w:type="dxa"/>
          </w:tcPr>
          <w:p w:rsidR="008C4CB4" w:rsidRPr="004B2105" w:rsidRDefault="008C4CB4" w:rsidP="00990175">
            <w:r w:rsidRPr="004B2105">
              <w:t xml:space="preserve"> 500,000,000.00 </w:t>
            </w:r>
          </w:p>
        </w:tc>
        <w:tc>
          <w:tcPr>
            <w:tcW w:w="1859" w:type="dxa"/>
          </w:tcPr>
          <w:p w:rsidR="008C4CB4" w:rsidRPr="002E4471" w:rsidRDefault="008C4CB4" w:rsidP="00394430">
            <w:r w:rsidRPr="002E4471">
              <w:t>3.98%</w:t>
            </w:r>
          </w:p>
        </w:tc>
      </w:tr>
      <w:tr w:rsidR="008C4CB4" w:rsidRPr="00437C59" w:rsidTr="00572B33">
        <w:trPr>
          <w:trHeight w:val="496"/>
          <w:jc w:val="center"/>
        </w:trPr>
        <w:tc>
          <w:tcPr>
            <w:tcW w:w="1349" w:type="dxa"/>
            <w:vAlign w:val="center"/>
          </w:tcPr>
          <w:p w:rsidR="008C4CB4" w:rsidRPr="00C720CE" w:rsidRDefault="008C4CB4" w:rsidP="00572B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8</w:t>
            </w:r>
          </w:p>
        </w:tc>
        <w:tc>
          <w:tcPr>
            <w:tcW w:w="3969" w:type="dxa"/>
          </w:tcPr>
          <w:p w:rsidR="008C4CB4" w:rsidRPr="00E077F7" w:rsidRDefault="008C4CB4" w:rsidP="003535FC">
            <w:pPr>
              <w:rPr>
                <w:rFonts w:hint="eastAsia"/>
              </w:rPr>
            </w:pPr>
            <w:r w:rsidRPr="00E077F7">
              <w:rPr>
                <w:rFonts w:hint="eastAsia"/>
              </w:rPr>
              <w:t>桐乡市金源股权投资管理有限公司</w:t>
            </w:r>
          </w:p>
        </w:tc>
        <w:tc>
          <w:tcPr>
            <w:tcW w:w="1841" w:type="dxa"/>
          </w:tcPr>
          <w:p w:rsidR="008C4CB4" w:rsidRPr="004B2105" w:rsidRDefault="008C4CB4" w:rsidP="00990175">
            <w:r w:rsidRPr="004B2105">
              <w:t xml:space="preserve"> 300,000,000.00 </w:t>
            </w:r>
          </w:p>
        </w:tc>
        <w:tc>
          <w:tcPr>
            <w:tcW w:w="1859" w:type="dxa"/>
          </w:tcPr>
          <w:p w:rsidR="008C4CB4" w:rsidRPr="002E4471" w:rsidRDefault="008C4CB4" w:rsidP="00394430">
            <w:r w:rsidRPr="002E4471">
              <w:t>2.39%</w:t>
            </w:r>
          </w:p>
        </w:tc>
      </w:tr>
      <w:tr w:rsidR="008C4CB4" w:rsidRPr="00437C59" w:rsidTr="00572B33">
        <w:trPr>
          <w:trHeight w:val="496"/>
          <w:jc w:val="center"/>
        </w:trPr>
        <w:tc>
          <w:tcPr>
            <w:tcW w:w="1349" w:type="dxa"/>
            <w:vAlign w:val="center"/>
          </w:tcPr>
          <w:p w:rsidR="008C4CB4" w:rsidRPr="00C720CE" w:rsidRDefault="008C4CB4" w:rsidP="00572B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8C4CB4" w:rsidRPr="00E077F7" w:rsidRDefault="008C4CB4" w:rsidP="003535FC">
            <w:pPr>
              <w:rPr>
                <w:rFonts w:hint="eastAsia"/>
              </w:rPr>
            </w:pPr>
            <w:r w:rsidRPr="00E077F7">
              <w:rPr>
                <w:rFonts w:hint="eastAsia"/>
              </w:rPr>
              <w:t>杭州市钱江新城投资集团有限公司</w:t>
            </w:r>
          </w:p>
        </w:tc>
        <w:tc>
          <w:tcPr>
            <w:tcW w:w="1841" w:type="dxa"/>
          </w:tcPr>
          <w:p w:rsidR="008C4CB4" w:rsidRPr="004B2105" w:rsidRDefault="008C4CB4" w:rsidP="00990175">
            <w:r w:rsidRPr="004B2105">
              <w:t xml:space="preserve"> 300,000,000.00 </w:t>
            </w:r>
          </w:p>
        </w:tc>
        <w:tc>
          <w:tcPr>
            <w:tcW w:w="1859" w:type="dxa"/>
          </w:tcPr>
          <w:p w:rsidR="008C4CB4" w:rsidRPr="002E4471" w:rsidRDefault="008C4CB4" w:rsidP="00394430">
            <w:r w:rsidRPr="002E4471">
              <w:t>2.39%</w:t>
            </w:r>
          </w:p>
        </w:tc>
      </w:tr>
      <w:tr w:rsidR="008C4CB4" w:rsidRPr="00437C59" w:rsidTr="00572B33">
        <w:trPr>
          <w:trHeight w:val="561"/>
          <w:jc w:val="center"/>
        </w:trPr>
        <w:tc>
          <w:tcPr>
            <w:tcW w:w="1349" w:type="dxa"/>
            <w:vAlign w:val="center"/>
          </w:tcPr>
          <w:p w:rsidR="008C4CB4" w:rsidRPr="00C720CE" w:rsidRDefault="008C4CB4" w:rsidP="00572B3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8C4CB4" w:rsidRDefault="008C4CB4" w:rsidP="003535FC">
            <w:r w:rsidRPr="00E077F7">
              <w:rPr>
                <w:rFonts w:hint="eastAsia"/>
              </w:rPr>
              <w:t>杭州未来科技城建设有限公司</w:t>
            </w:r>
          </w:p>
        </w:tc>
        <w:tc>
          <w:tcPr>
            <w:tcW w:w="1841" w:type="dxa"/>
          </w:tcPr>
          <w:p w:rsidR="008C4CB4" w:rsidRDefault="008C4CB4" w:rsidP="00990175">
            <w:r w:rsidRPr="004B2105">
              <w:t xml:space="preserve"> 269,000,000.00 </w:t>
            </w:r>
          </w:p>
        </w:tc>
        <w:tc>
          <w:tcPr>
            <w:tcW w:w="1859" w:type="dxa"/>
          </w:tcPr>
          <w:p w:rsidR="008C4CB4" w:rsidRDefault="008C4CB4" w:rsidP="00394430">
            <w:r w:rsidRPr="002E4471">
              <w:t>2.14%</w:t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72B33">
        <w:tc>
          <w:tcPr>
            <w:tcW w:w="8522" w:type="dxa"/>
          </w:tcPr>
          <w:p w:rsidR="00576002" w:rsidRPr="00576002" w:rsidRDefault="00CF0298" w:rsidP="00CF0298">
            <w:pPr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</w:t>
            </w:r>
            <w:proofErr w:type="gramStart"/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申赎时间</w:t>
            </w:r>
            <w:proofErr w:type="gramEnd"/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合理调整流动性资产配置，以满足产品的流动性资金需求，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可控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72B33">
        <w:tc>
          <w:tcPr>
            <w:tcW w:w="8522" w:type="dxa"/>
          </w:tcPr>
          <w:p w:rsidR="00E03A0F" w:rsidRPr="00E03A0F" w:rsidRDefault="00E03A0F" w:rsidP="00E03A0F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我行作为</w:t>
            </w:r>
            <w:proofErr w:type="gramStart"/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“</w:t>
            </w:r>
            <w:proofErr w:type="gramEnd"/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中国建设银行浙江省分行“乾元-聚盈”（按日）开放式资产组合型人民币理财产品</w:t>
            </w:r>
            <w:proofErr w:type="gramStart"/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”</w:t>
            </w:r>
            <w:proofErr w:type="gramEnd"/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(简称“乾元-聚盈”理财产品)的托管人，依据相关规章的约定，履行托管人职责。现将2020年1月 1日至2020年</w:t>
            </w:r>
            <w:r w:rsidR="008C4CB4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12</w:t>
            </w: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月3</w:t>
            </w:r>
            <w:r w:rsidR="008C4CB4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1</w:t>
            </w: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日期间“乾元-聚盈”理财产品的托管情况报告如下。</w:t>
            </w:r>
          </w:p>
          <w:p w:rsidR="00E03A0F" w:rsidRPr="00E03A0F" w:rsidRDefault="00E03A0F" w:rsidP="00E03A0F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一、报告期末“乾元-聚盈” 理财产品资产分布形态</w:t>
            </w:r>
          </w:p>
          <w:p w:rsidR="00E03A0F" w:rsidRPr="00E03A0F" w:rsidRDefault="00E03A0F" w:rsidP="00E03A0F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 xml:space="preserve">报告期末资产分布形态分布为活期存款、同业存款、债券资产、货币基金及高收益资产等，期末资产规模 为 </w:t>
            </w:r>
            <w:r w:rsidR="00277A17">
              <w:rPr>
                <w:rFonts w:ascii="彩虹粗仿宋" w:eastAsia="彩虹粗仿宋"/>
                <w:color w:val="000000"/>
                <w:sz w:val="28"/>
                <w:szCs w:val="28"/>
              </w:rPr>
              <w:t>1057362.3</w:t>
            </w:r>
            <w:r w:rsidR="00277A17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8</w:t>
            </w: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万元。</w:t>
            </w:r>
          </w:p>
          <w:p w:rsidR="00E03A0F" w:rsidRPr="00E03A0F" w:rsidRDefault="00E03A0F" w:rsidP="00E03A0F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二、报告期“乾元-聚盈” 理财产品开展投资情况</w:t>
            </w:r>
          </w:p>
          <w:p w:rsidR="00E03A0F" w:rsidRPr="00E03A0F" w:rsidRDefault="00E03A0F" w:rsidP="00E03A0F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期间累计投资货币基金</w:t>
            </w:r>
            <w:r w:rsidR="00277A17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86</w:t>
            </w:r>
            <w:r w:rsidR="00391BB6" w:rsidRPr="00391BB6">
              <w:rPr>
                <w:rFonts w:ascii="彩虹粗仿宋" w:eastAsia="彩虹粗仿宋"/>
                <w:color w:val="000000"/>
                <w:sz w:val="28"/>
                <w:szCs w:val="28"/>
              </w:rPr>
              <w:t>.17</w:t>
            </w: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亿元，高收益资产</w:t>
            </w:r>
            <w:r w:rsidR="00277A17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118.91</w:t>
            </w: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亿元。</w:t>
            </w:r>
          </w:p>
          <w:p w:rsidR="00E03A0F" w:rsidRPr="00E03A0F" w:rsidRDefault="00E03A0F" w:rsidP="00E03A0F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 xml:space="preserve">三、报告期“乾元-聚盈”理财产品承担费用的情况 </w:t>
            </w:r>
          </w:p>
          <w:p w:rsidR="00E03A0F" w:rsidRPr="00E03A0F" w:rsidRDefault="00E03A0F" w:rsidP="00E03A0F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期间支付托管费</w:t>
            </w:r>
            <w:r w:rsidR="00277A17" w:rsidRPr="00277A17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5430810.82</w:t>
            </w: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元，支付销售费用</w:t>
            </w:r>
            <w:r w:rsidR="00277A17" w:rsidRPr="00277A17">
              <w:rPr>
                <w:rFonts w:ascii="彩虹粗仿宋" w:eastAsia="彩虹粗仿宋"/>
                <w:color w:val="000000"/>
                <w:sz w:val="28"/>
                <w:szCs w:val="28"/>
              </w:rPr>
              <w:t>32584864.97</w:t>
            </w: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元。支付管理费</w:t>
            </w:r>
            <w:r w:rsidR="00277A17" w:rsidRPr="00277A17">
              <w:rPr>
                <w:rFonts w:ascii="彩虹粗仿宋" w:eastAsia="彩虹粗仿宋"/>
                <w:color w:val="000000"/>
                <w:sz w:val="28"/>
                <w:szCs w:val="28"/>
              </w:rPr>
              <w:t>213355230.6</w:t>
            </w: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元。</w:t>
            </w:r>
          </w:p>
          <w:p w:rsidR="00E03A0F" w:rsidRPr="00E03A0F" w:rsidRDefault="00E03A0F" w:rsidP="00E03A0F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lastRenderedPageBreak/>
              <w:t>四、报告期产品设立机构履行受托职责的情况</w:t>
            </w:r>
          </w:p>
          <w:p w:rsidR="00E03A0F" w:rsidRPr="00E03A0F" w:rsidRDefault="00E03A0F" w:rsidP="00E03A0F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产品设立机构在对理财产品财产受托过程中，严格遵守《中华人民共和国商业银行法》等国家法律法规及其他相关规定，诚实信用、勤勉尽责地履行了受托人职责。</w:t>
            </w:r>
          </w:p>
          <w:p w:rsidR="00E03A0F" w:rsidRPr="00E03A0F" w:rsidRDefault="00E03A0F" w:rsidP="00E03A0F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五、报告期托管服务提供部门履行托管职责的情况</w:t>
            </w:r>
          </w:p>
          <w:p w:rsidR="00E03A0F" w:rsidRPr="00E03A0F" w:rsidRDefault="00E03A0F" w:rsidP="00E03A0F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托管分中心在对理财产品财产托管过程中，严格遵守《中华人民共和国商业银行法》等国家法律法规及其他相关规定，诚实信用、勤勉尽责地履行了托管人职责，不存在任何违反法律法规、理财产品文件损害本理财产品投资者利益的行为。</w:t>
            </w:r>
          </w:p>
          <w:p w:rsidR="00E03A0F" w:rsidRPr="00E03A0F" w:rsidRDefault="00E03A0F" w:rsidP="00E03A0F">
            <w:pPr>
              <w:spacing w:before="156" w:after="156" w:line="360" w:lineRule="auto"/>
              <w:ind w:rightChars="-19" w:right="-40"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六、报告期发生的“乾元-聚盈”理财产品相关的其他重大事项：无</w:t>
            </w:r>
          </w:p>
          <w:p w:rsidR="005204A8" w:rsidRPr="00D73589" w:rsidRDefault="00E03A0F" w:rsidP="00E03A0F">
            <w:pPr>
              <w:spacing w:line="360" w:lineRule="auto"/>
              <w:ind w:firstLineChars="150" w:firstLine="420"/>
              <w:rPr>
                <w:rFonts w:ascii="彩虹粗仿宋" w:eastAsia="彩虹粗仿宋"/>
                <w:color w:val="000000"/>
                <w:sz w:val="28"/>
                <w:szCs w:val="28"/>
              </w:rPr>
            </w:pPr>
            <w:r w:rsidRPr="00E03A0F">
              <w:rPr>
                <w:rFonts w:ascii="彩虹粗仿宋" w:eastAsia="彩虹粗仿宋" w:hint="eastAsia"/>
                <w:color w:val="000000"/>
                <w:sz w:val="28"/>
                <w:szCs w:val="28"/>
              </w:rPr>
              <w:t>以上情况，特此报告。</w:t>
            </w:r>
          </w:p>
        </w:tc>
      </w:tr>
    </w:tbl>
    <w:p w:rsidR="00CF0298" w:rsidRDefault="00CF0298" w:rsidP="00CF029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七、投资账户信息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CF0298" w:rsidTr="00572B33">
        <w:trPr>
          <w:trHeight w:val="285"/>
          <w:jc w:val="center"/>
        </w:trPr>
        <w:tc>
          <w:tcPr>
            <w:tcW w:w="780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CF0298" w:rsidRDefault="00CF0298" w:rsidP="00572B33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CF0298" w:rsidTr="00572B33">
        <w:trPr>
          <w:trHeight w:val="285"/>
          <w:jc w:val="center"/>
        </w:trPr>
        <w:tc>
          <w:tcPr>
            <w:tcW w:w="780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842" w:type="dxa"/>
            <w:vAlign w:val="center"/>
          </w:tcPr>
          <w:p w:rsidR="00CF0298" w:rsidRDefault="00CF0298" w:rsidP="00572B33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CF0298" w:rsidTr="00572B33">
        <w:trPr>
          <w:trHeight w:val="285"/>
          <w:jc w:val="center"/>
        </w:trPr>
        <w:tc>
          <w:tcPr>
            <w:tcW w:w="780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</w:t>
            </w:r>
          </w:p>
        </w:tc>
        <w:tc>
          <w:tcPr>
            <w:tcW w:w="1985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CF0298" w:rsidRDefault="00CF0298" w:rsidP="00572B33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CF0298" w:rsidTr="00572B33">
        <w:trPr>
          <w:trHeight w:val="285"/>
          <w:jc w:val="center"/>
        </w:trPr>
        <w:tc>
          <w:tcPr>
            <w:tcW w:w="780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985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CF0298" w:rsidRDefault="00CF0298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CF0298" w:rsidP="004935F0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</w:t>
      </w:r>
      <w:proofErr w:type="gramStart"/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方发行</w:t>
      </w:r>
      <w:proofErr w:type="gramEnd"/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005F25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3B5CC6" w:rsidTr="00005F25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3B5CC6" w:rsidRDefault="00005F25" w:rsidP="007B543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9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4" w:type="dxa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3B5CC6" w:rsidRPr="00005F25" w:rsidTr="00005F25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Pr="00005F25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3B5CC6" w:rsidRPr="00005F25" w:rsidRDefault="003B5CC6" w:rsidP="007B5435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3B5CC6" w:rsidRPr="00005F25" w:rsidRDefault="003B5CC6" w:rsidP="00572B33">
            <w:pPr>
              <w:snapToGrid w:val="0"/>
              <w:jc w:val="center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3B5CC6" w:rsidRPr="00005F25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3B5CC6" w:rsidRPr="00005F25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1296" w:type="dxa"/>
            <w:vAlign w:val="center"/>
          </w:tcPr>
          <w:p w:rsidR="003B5CC6" w:rsidRPr="00005F25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1554" w:type="dxa"/>
          </w:tcPr>
          <w:p w:rsidR="003B5CC6" w:rsidRPr="00005F25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</w:rPr>
            </w:pPr>
          </w:p>
        </w:tc>
        <w:tc>
          <w:tcPr>
            <w:tcW w:w="1560" w:type="dxa"/>
          </w:tcPr>
          <w:p w:rsidR="003B5CC6" w:rsidRPr="00005F25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</w:rPr>
            </w:pPr>
          </w:p>
        </w:tc>
      </w:tr>
      <w:tr w:rsidR="003B5CC6" w:rsidTr="00005F25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5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96" w:type="dxa"/>
            <w:vAlign w:val="center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54" w:type="dxa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60" w:type="dxa"/>
          </w:tcPr>
          <w:p w:rsidR="003B5CC6" w:rsidRDefault="003B5CC6" w:rsidP="00572B3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B5CC6" w:rsidTr="00572B33">
        <w:tc>
          <w:tcPr>
            <w:tcW w:w="8522" w:type="dxa"/>
          </w:tcPr>
          <w:p w:rsidR="003B5CC6" w:rsidRDefault="004159F3" w:rsidP="00572B33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</w:t>
            </w:r>
          </w:p>
        </w:tc>
      </w:tr>
    </w:tbl>
    <w:p w:rsidR="003B5CC6" w:rsidRPr="00E028E0" w:rsidRDefault="00CF0298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CF0298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9A5DB2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</w:t>
      </w:r>
      <w:r w:rsidR="009A5DB2">
        <w:rPr>
          <w:rFonts w:asciiTheme="minorEastAsia" w:eastAsiaTheme="minorEastAsia" w:hAnsiTheme="minorEastAsia" w:hint="eastAsia"/>
          <w:color w:val="000000"/>
          <w:sz w:val="28"/>
          <w:szCs w:val="28"/>
        </w:rPr>
        <w:t>基本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正常运营，</w:t>
      </w:r>
      <w:r w:rsidR="009A5DB2" w:rsidRPr="009A5DB2">
        <w:rPr>
          <w:rFonts w:asciiTheme="minorEastAsia" w:eastAsiaTheme="minorEastAsia" w:hAnsiTheme="minorEastAsia" w:hint="eastAsia"/>
          <w:color w:val="000000"/>
          <w:sz w:val="28"/>
          <w:szCs w:val="28"/>
        </w:rPr>
        <w:t>个别项目未能正常完全还本付息，但不影响按预期收益兑付客户。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0808AD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</w:t>
      </w:r>
      <w:r w:rsidR="00277A17">
        <w:rPr>
          <w:rFonts w:asciiTheme="minorEastAsia" w:eastAsiaTheme="minorEastAsia" w:hAnsiTheme="minorEastAsia" w:hint="eastAsia"/>
          <w:color w:val="000000"/>
          <w:sz w:val="28"/>
          <w:szCs w:val="28"/>
        </w:rPr>
        <w:t>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D87989">
        <w:rPr>
          <w:rFonts w:asciiTheme="minorEastAsia" w:eastAsiaTheme="minorEastAsia" w:hAnsiTheme="minorEastAsia" w:hint="eastAsia"/>
          <w:color w:val="000000"/>
          <w:sz w:val="28"/>
          <w:szCs w:val="28"/>
        </w:rPr>
        <w:t>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277A17">
        <w:rPr>
          <w:rFonts w:asciiTheme="minorEastAsia" w:eastAsiaTheme="minorEastAsia" w:hAnsiTheme="minorEastAsia" w:hint="eastAsia"/>
          <w:color w:val="000000"/>
          <w:sz w:val="28"/>
          <w:szCs w:val="28"/>
        </w:rPr>
        <w:t>6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rFonts w:hint="eastAsia"/>
          <w:b/>
          <w:color w:val="000000"/>
          <w:sz w:val="24"/>
          <w:szCs w:val="24"/>
        </w:rPr>
      </w:pPr>
    </w:p>
    <w:p w:rsidR="00C50A5E" w:rsidRDefault="00C50A5E" w:rsidP="005204A8">
      <w:pPr>
        <w:rPr>
          <w:rFonts w:hint="eastAsia"/>
          <w:b/>
          <w:color w:val="000000"/>
          <w:sz w:val="24"/>
          <w:szCs w:val="24"/>
        </w:rPr>
      </w:pPr>
    </w:p>
    <w:p w:rsidR="00C50A5E" w:rsidRDefault="00C50A5E" w:rsidP="005204A8">
      <w:pPr>
        <w:rPr>
          <w:rFonts w:hint="eastAsia"/>
          <w:b/>
          <w:color w:val="000000"/>
          <w:sz w:val="24"/>
          <w:szCs w:val="24"/>
        </w:rPr>
      </w:pPr>
    </w:p>
    <w:p w:rsidR="00C50A5E" w:rsidRDefault="00C50A5E" w:rsidP="005204A8">
      <w:pPr>
        <w:rPr>
          <w:rFonts w:hint="eastAsia"/>
          <w:b/>
          <w:color w:val="000000"/>
          <w:sz w:val="24"/>
          <w:szCs w:val="24"/>
        </w:rPr>
      </w:pPr>
    </w:p>
    <w:p w:rsidR="00C50A5E" w:rsidRDefault="00C50A5E" w:rsidP="005204A8">
      <w:pPr>
        <w:rPr>
          <w:b/>
          <w:color w:val="000000"/>
          <w:sz w:val="24"/>
          <w:szCs w:val="24"/>
        </w:rPr>
      </w:pPr>
      <w:bookmarkStart w:id="0" w:name="_GoBack"/>
      <w:bookmarkEnd w:id="0"/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77323D" w:rsidRDefault="0077323D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665D61" w:rsidP="005204A8">
      <w:pPr>
        <w:jc w:val="center"/>
        <w:rPr>
          <w:b/>
          <w:color w:val="000000"/>
          <w:sz w:val="24"/>
          <w:szCs w:val="24"/>
        </w:rPr>
      </w:pPr>
      <w:r w:rsidRPr="00665D61">
        <w:rPr>
          <w:rFonts w:hint="eastAsia"/>
          <w:b/>
          <w:color w:val="000000"/>
          <w:sz w:val="24"/>
          <w:szCs w:val="24"/>
        </w:rPr>
        <w:t>“乾元—聚盈”开放式资产组合型人民币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665D61">
        <w:rPr>
          <w:rFonts w:ascii="宋体" w:hAnsi="宋体" w:hint="eastAsia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277A17">
        <w:rPr>
          <w:rFonts w:ascii="宋体" w:hAnsi="宋体" w:hint="eastAsia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391BB6">
        <w:rPr>
          <w:rFonts w:ascii="宋体" w:hAnsi="宋体" w:hint="eastAsia"/>
          <w:color w:val="000000"/>
          <w:szCs w:val="21"/>
        </w:rPr>
        <w:t>3</w:t>
      </w:r>
      <w:r w:rsidR="00277A17">
        <w:rPr>
          <w:rFonts w:ascii="宋体" w:hAnsi="宋体" w:hint="eastAsia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25422F" w:rsidRPr="0025422F">
        <w:rPr>
          <w:rFonts w:ascii="宋体" w:hAnsi="宋体" w:hint="eastAsia"/>
          <w:color w:val="000000"/>
          <w:szCs w:val="21"/>
        </w:rPr>
        <w:t>“乾元—聚盈”开放式资产组合型人民币</w:t>
      </w:r>
      <w:r>
        <w:rPr>
          <w:rFonts w:ascii="宋体" w:hAnsi="宋体" w:hint="eastAsia"/>
          <w:color w:val="000000"/>
          <w:szCs w:val="21"/>
        </w:rPr>
        <w:t>理财产品投资非标准化债权</w:t>
      </w:r>
      <w:r w:rsidR="00AB47C5">
        <w:rPr>
          <w:rFonts w:ascii="宋体" w:hAnsi="宋体" w:hint="eastAsia"/>
          <w:color w:val="000000"/>
          <w:szCs w:val="21"/>
        </w:rPr>
        <w:t>及股权</w:t>
      </w:r>
      <w:r>
        <w:rPr>
          <w:rFonts w:ascii="宋体" w:hAnsi="宋体" w:hint="eastAsia"/>
          <w:color w:val="000000"/>
          <w:szCs w:val="21"/>
        </w:rPr>
        <w:t>类资产清单披露如下：</w:t>
      </w:r>
    </w:p>
    <w:tbl>
      <w:tblPr>
        <w:tblW w:w="5053" w:type="pct"/>
        <w:jc w:val="center"/>
        <w:tblLayout w:type="fixed"/>
        <w:tblLook w:val="04A0" w:firstRow="1" w:lastRow="0" w:firstColumn="1" w:lastColumn="0" w:noHBand="0" w:noVBand="1"/>
      </w:tblPr>
      <w:tblGrid>
        <w:gridCol w:w="3085"/>
        <w:gridCol w:w="2270"/>
        <w:gridCol w:w="1560"/>
        <w:gridCol w:w="753"/>
        <w:gridCol w:w="944"/>
      </w:tblGrid>
      <w:tr w:rsidR="00CF0298" w:rsidTr="00197C1C">
        <w:trPr>
          <w:trHeight w:val="765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D87989" w:rsidP="00D879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D87989" w:rsidP="00572B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D87989" w:rsidP="00D879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72B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72B3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6454D3" w:rsidTr="00B03FF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浙江乌镇互联网特色小镇投资建设有限公司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16浙桐乡OB003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基金投资类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jc w:val="right"/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1,070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正常</w:t>
            </w:r>
          </w:p>
        </w:tc>
      </w:tr>
      <w:tr w:rsidR="006454D3" w:rsidTr="00B03FF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建德市城市建设发展投资有限公司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17浙建德城投EI001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股权投资类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jc w:val="right"/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1,085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正常</w:t>
            </w:r>
          </w:p>
        </w:tc>
      </w:tr>
      <w:tr w:rsidR="006454D3" w:rsidTr="00B03FF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温州市洞头城市发展有限公司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17浙温州洞头EI001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股权投资类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jc w:val="right"/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28,936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正常</w:t>
            </w:r>
          </w:p>
        </w:tc>
      </w:tr>
      <w:tr w:rsidR="006454D3" w:rsidTr="00B03FF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乐清市国有投资有限公司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18浙乐清国投OB001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基金投资类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jc w:val="right"/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2,587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正常</w:t>
            </w:r>
          </w:p>
        </w:tc>
      </w:tr>
      <w:tr w:rsidR="006454D3" w:rsidTr="00B03FF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乐清市国有投资有限公司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18浙乐清国投OB002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基金投资类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jc w:val="right"/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2,587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正常</w:t>
            </w:r>
          </w:p>
        </w:tc>
      </w:tr>
      <w:tr w:rsidR="006454D3" w:rsidTr="00B03FF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嘉善县国有资产投资有限公司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17浙嘉善国资EI001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股权投资类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jc w:val="right"/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1,178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正常</w:t>
            </w:r>
          </w:p>
        </w:tc>
      </w:tr>
      <w:tr w:rsidR="006454D3" w:rsidTr="00B03FF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桐乡市金源股权投资管理有限公司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17浙桐乡金源EI001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股权投资类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jc w:val="right"/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1,410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正常</w:t>
            </w:r>
          </w:p>
        </w:tc>
      </w:tr>
      <w:tr w:rsidR="006454D3" w:rsidTr="00B03FF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舟山群岛新区金融投资有限公司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18浙</w:t>
            </w:r>
            <w:proofErr w:type="gramStart"/>
            <w:r>
              <w:rPr>
                <w:rFonts w:ascii="彩虹粗仿宋" w:eastAsia="彩虹粗仿宋" w:hint="eastAsia"/>
                <w:color w:val="000000"/>
                <w:szCs w:val="21"/>
              </w:rPr>
              <w:t>舟山金投</w:t>
            </w:r>
            <w:proofErr w:type="gramEnd"/>
            <w:r>
              <w:rPr>
                <w:rFonts w:ascii="彩虹粗仿宋" w:eastAsia="彩虹粗仿宋" w:hint="eastAsia"/>
                <w:color w:val="000000"/>
                <w:szCs w:val="21"/>
              </w:rPr>
              <w:t>EF001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股权投资类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jc w:val="right"/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727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正常</w:t>
            </w:r>
          </w:p>
        </w:tc>
      </w:tr>
      <w:tr w:rsidR="006454D3" w:rsidTr="00B03FF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浙江乌镇互联网特色小镇投资建设有限公司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17浙桐乡OB001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基金投资类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jc w:val="right"/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1,070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正常</w:t>
            </w:r>
          </w:p>
        </w:tc>
      </w:tr>
      <w:tr w:rsidR="006454D3" w:rsidTr="00B03FF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武义县国有资产管理运营有限公司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18浙武义国资EI001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股权投资类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jc w:val="right"/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2,636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正常</w:t>
            </w:r>
          </w:p>
        </w:tc>
      </w:tr>
      <w:tr w:rsidR="006454D3" w:rsidTr="00B03FF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铁牛集团有限公司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17</w:t>
            </w:r>
            <w:proofErr w:type="gramStart"/>
            <w:r>
              <w:rPr>
                <w:rFonts w:ascii="彩虹粗仿宋" w:eastAsia="彩虹粗仿宋" w:hint="eastAsia"/>
                <w:color w:val="000000"/>
                <w:szCs w:val="21"/>
              </w:rPr>
              <w:t>浙金铁牛</w:t>
            </w:r>
            <w:proofErr w:type="gramEnd"/>
            <w:r>
              <w:rPr>
                <w:rFonts w:ascii="彩虹粗仿宋" w:eastAsia="彩虹粗仿宋" w:hint="eastAsia"/>
                <w:color w:val="000000"/>
                <w:szCs w:val="21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jc w:val="right"/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28,936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次级，但不影响正常兑付</w:t>
            </w:r>
          </w:p>
        </w:tc>
      </w:tr>
      <w:tr w:rsidR="006454D3" w:rsidTr="00B03FF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新昌县梅</w:t>
            </w:r>
            <w:proofErr w:type="gramStart"/>
            <w:r>
              <w:rPr>
                <w:rFonts w:ascii="彩虹粗仿宋" w:eastAsia="彩虹粗仿宋" w:hint="eastAsia"/>
                <w:color w:val="000000"/>
                <w:szCs w:val="21"/>
              </w:rPr>
              <w:t>渚</w:t>
            </w:r>
            <w:proofErr w:type="gramEnd"/>
            <w:r>
              <w:rPr>
                <w:rFonts w:ascii="彩虹粗仿宋" w:eastAsia="彩虹粗仿宋" w:hint="eastAsia"/>
                <w:color w:val="000000"/>
                <w:szCs w:val="21"/>
              </w:rPr>
              <w:t>新城（新村）建设投资有限公司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17浙梅</w:t>
            </w:r>
            <w:proofErr w:type="gramStart"/>
            <w:r>
              <w:rPr>
                <w:rFonts w:ascii="彩虹粗仿宋" w:eastAsia="彩虹粗仿宋" w:hint="eastAsia"/>
                <w:color w:val="000000"/>
                <w:szCs w:val="21"/>
              </w:rPr>
              <w:t>渚</w:t>
            </w:r>
            <w:proofErr w:type="gramEnd"/>
            <w:r>
              <w:rPr>
                <w:rFonts w:ascii="彩虹粗仿宋" w:eastAsia="彩虹粗仿宋" w:hint="eastAsia"/>
                <w:color w:val="000000"/>
                <w:szCs w:val="21"/>
              </w:rPr>
              <w:t>新城AB003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jc w:val="right"/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28,936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正常</w:t>
            </w:r>
          </w:p>
        </w:tc>
      </w:tr>
      <w:tr w:rsidR="006454D3" w:rsidTr="00B03FF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温州生态园开发建设投资集团有限公司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17浙温州生态园EB001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股权收益权类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jc w:val="right"/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28,936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正常</w:t>
            </w:r>
          </w:p>
        </w:tc>
      </w:tr>
      <w:tr w:rsidR="006454D3" w:rsidTr="00B03FF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台州循环经济发展有限公司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17</w:t>
            </w:r>
            <w:proofErr w:type="gramStart"/>
            <w:r>
              <w:rPr>
                <w:rFonts w:ascii="彩虹粗仿宋" w:eastAsia="彩虹粗仿宋" w:hint="eastAsia"/>
                <w:color w:val="000000"/>
                <w:szCs w:val="21"/>
              </w:rPr>
              <w:t>浙台循环</w:t>
            </w:r>
            <w:proofErr w:type="gramEnd"/>
            <w:r>
              <w:rPr>
                <w:rFonts w:ascii="彩虹粗仿宋" w:eastAsia="彩虹粗仿宋" w:hint="eastAsia"/>
                <w:color w:val="000000"/>
                <w:szCs w:val="21"/>
              </w:rPr>
              <w:t>OB001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基金投资类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jc w:val="right"/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303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正常</w:t>
            </w:r>
          </w:p>
        </w:tc>
      </w:tr>
      <w:tr w:rsidR="006454D3" w:rsidTr="00B03FF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温州市城市建设投资集团有限公司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16浙温州城投AB002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jc w:val="right"/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320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正常</w:t>
            </w:r>
          </w:p>
        </w:tc>
      </w:tr>
      <w:tr w:rsidR="006454D3" w:rsidTr="00B03FF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建德市城市建设发展投资有限公司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17浙建德城投EI002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股权投资类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jc w:val="right"/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28,936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正常</w:t>
            </w:r>
          </w:p>
        </w:tc>
      </w:tr>
      <w:tr w:rsidR="006454D3" w:rsidTr="00B03FF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lastRenderedPageBreak/>
              <w:t>湖州新城公用工程有限公司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17</w:t>
            </w:r>
            <w:proofErr w:type="gramStart"/>
            <w:r>
              <w:rPr>
                <w:rFonts w:ascii="彩虹粗仿宋" w:eastAsia="彩虹粗仿宋" w:hint="eastAsia"/>
                <w:color w:val="000000"/>
                <w:szCs w:val="21"/>
              </w:rPr>
              <w:t>浙湖新城</w:t>
            </w:r>
            <w:proofErr w:type="gramEnd"/>
            <w:r>
              <w:rPr>
                <w:rFonts w:ascii="彩虹粗仿宋" w:eastAsia="彩虹粗仿宋" w:hint="eastAsia"/>
                <w:color w:val="000000"/>
                <w:szCs w:val="21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jc w:val="right"/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28,936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正常</w:t>
            </w:r>
          </w:p>
        </w:tc>
      </w:tr>
      <w:tr w:rsidR="006454D3" w:rsidTr="00B03FF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温州生态园开发建设投资集团有限公司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17浙温州生态园EB002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股权收益权类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jc w:val="right"/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2,419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正常</w:t>
            </w:r>
          </w:p>
        </w:tc>
      </w:tr>
      <w:tr w:rsidR="006454D3" w:rsidTr="00B03FF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浙江武义城市建设有限公司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19浙武义城建AB002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jc w:val="right"/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28,936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正常</w:t>
            </w:r>
          </w:p>
        </w:tc>
      </w:tr>
      <w:tr w:rsidR="006454D3" w:rsidTr="00B03FF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浙江武义城市建设有限公司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19浙武义城建AB001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jc w:val="right"/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320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正常</w:t>
            </w:r>
          </w:p>
        </w:tc>
      </w:tr>
      <w:tr w:rsidR="006454D3" w:rsidTr="00B03FF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杭州未来科技城建设有限公司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17</w:t>
            </w:r>
            <w:proofErr w:type="gramStart"/>
            <w:r>
              <w:rPr>
                <w:rFonts w:ascii="彩虹粗仿宋" w:eastAsia="彩虹粗仿宋" w:hint="eastAsia"/>
                <w:color w:val="000000"/>
                <w:szCs w:val="21"/>
              </w:rPr>
              <w:t>浙杭未来</w:t>
            </w:r>
            <w:proofErr w:type="gramEnd"/>
            <w:r>
              <w:rPr>
                <w:rFonts w:ascii="彩虹粗仿宋" w:eastAsia="彩虹粗仿宋" w:hint="eastAsia"/>
                <w:color w:val="000000"/>
                <w:szCs w:val="21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jc w:val="right"/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28,936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正常</w:t>
            </w:r>
          </w:p>
        </w:tc>
      </w:tr>
      <w:tr w:rsidR="006454D3" w:rsidTr="00B03FF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杭州未来科技城建设有限公司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17</w:t>
            </w:r>
            <w:proofErr w:type="gramStart"/>
            <w:r>
              <w:rPr>
                <w:rFonts w:ascii="彩虹粗仿宋" w:eastAsia="彩虹粗仿宋" w:hint="eastAsia"/>
                <w:color w:val="000000"/>
                <w:szCs w:val="21"/>
              </w:rPr>
              <w:t>浙杭未来</w:t>
            </w:r>
            <w:proofErr w:type="gramEnd"/>
            <w:r>
              <w:rPr>
                <w:rFonts w:ascii="彩虹粗仿宋" w:eastAsia="彩虹粗仿宋" w:hint="eastAsia"/>
                <w:color w:val="000000"/>
                <w:szCs w:val="21"/>
              </w:rPr>
              <w:t>AB002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jc w:val="right"/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375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正常</w:t>
            </w:r>
          </w:p>
        </w:tc>
      </w:tr>
      <w:tr w:rsidR="006454D3" w:rsidTr="00B03FF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浦江县低丘缓坡开发有限公司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17浙浦江低丘EI001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股权投资类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jc w:val="right"/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2,284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正常</w:t>
            </w:r>
          </w:p>
        </w:tc>
      </w:tr>
      <w:tr w:rsidR="006454D3" w:rsidTr="00B03FF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磐安县交通实业有限公司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18浙磐安交通AB001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jc w:val="right"/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73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正常</w:t>
            </w:r>
          </w:p>
        </w:tc>
      </w:tr>
      <w:tr w:rsidR="006454D3" w:rsidTr="00B03FF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建德市城市建设发展投资有限公司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17浙建德城投EI002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股权投资类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jc w:val="right"/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28,936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正常</w:t>
            </w:r>
          </w:p>
        </w:tc>
      </w:tr>
      <w:tr w:rsidR="006454D3" w:rsidTr="00B03FF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浦江县低丘缓坡开发有限公司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17浙浦江低丘EI001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股权投资类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jc w:val="right"/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28,936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正常</w:t>
            </w:r>
          </w:p>
        </w:tc>
      </w:tr>
      <w:tr w:rsidR="006454D3" w:rsidTr="00B03FF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温州生态园开发建设投资集团有限公司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17浙温州生态园EB002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股权收益权类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jc w:val="right"/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2,419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正常</w:t>
            </w:r>
          </w:p>
        </w:tc>
      </w:tr>
      <w:tr w:rsidR="006454D3" w:rsidTr="00B03FF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磐安县交通实业有限公司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18浙磐安交通AB001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jc w:val="right"/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28,936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正常</w:t>
            </w:r>
          </w:p>
        </w:tc>
      </w:tr>
      <w:tr w:rsidR="006454D3" w:rsidTr="00B03FF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桐庐县交通发展集团有限公司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17浙桐庐交投AB001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jc w:val="right"/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409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正常</w:t>
            </w:r>
          </w:p>
        </w:tc>
      </w:tr>
      <w:tr w:rsidR="006454D3" w:rsidTr="00B03FF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上虞经济开发区投资开发有限公司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17浙上虞经开AB002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jc w:val="right"/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2,506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正常</w:t>
            </w:r>
          </w:p>
        </w:tc>
      </w:tr>
      <w:tr w:rsidR="006454D3" w:rsidTr="00B03FF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瑞安经济开发区发展总公司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17浙瑞安经开AB001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jc w:val="right"/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397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正常</w:t>
            </w:r>
          </w:p>
        </w:tc>
      </w:tr>
      <w:tr w:rsidR="006454D3" w:rsidTr="00B03FF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温州市城市建设投资集团有限公司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16浙温州城投AB002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jc w:val="right"/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320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正常</w:t>
            </w:r>
          </w:p>
        </w:tc>
      </w:tr>
      <w:tr w:rsidR="006454D3" w:rsidTr="00B03FF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浙江武义城市建设有限公司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19浙武义城建AB001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jc w:val="right"/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320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正常</w:t>
            </w:r>
          </w:p>
        </w:tc>
      </w:tr>
      <w:tr w:rsidR="006454D3" w:rsidTr="00B03FF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温岭市国有资产投资集团有限公司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17浙台温岭国投AB002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jc w:val="right"/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433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正常</w:t>
            </w:r>
          </w:p>
        </w:tc>
      </w:tr>
      <w:tr w:rsidR="006454D3" w:rsidTr="00B03FF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浦江县低丘缓坡开发有限公司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17浙浦江低丘EI001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股权投资类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jc w:val="right"/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2,284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正常</w:t>
            </w:r>
          </w:p>
        </w:tc>
      </w:tr>
      <w:tr w:rsidR="006454D3" w:rsidTr="00B03FF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长兴交通投资集团有限公司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17浙长兴交投EB001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股权收益权类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jc w:val="right"/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468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正常</w:t>
            </w:r>
          </w:p>
        </w:tc>
      </w:tr>
      <w:tr w:rsidR="006454D3" w:rsidTr="00B03FF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温州生态园开发建设投资集团有限公司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17浙温州生态园EB001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股权收益权类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jc w:val="right"/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2,402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正常</w:t>
            </w:r>
          </w:p>
        </w:tc>
      </w:tr>
      <w:tr w:rsidR="006454D3" w:rsidTr="00B03FF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温州生态园开发建设投资集团有限公司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17浙温州生态园EB002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股权收益权类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jc w:val="right"/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2,419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正常</w:t>
            </w:r>
          </w:p>
        </w:tc>
      </w:tr>
      <w:tr w:rsidR="006454D3" w:rsidTr="00B03FF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温州市城市建设投资集团有限公司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17浙温州城投AB002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jc w:val="right"/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438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正常</w:t>
            </w:r>
          </w:p>
        </w:tc>
      </w:tr>
      <w:tr w:rsidR="006454D3" w:rsidTr="00B03FF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桐乡市崇福两新建设开发有限公司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18浙桐乡两新AB001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jc w:val="right"/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783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正常</w:t>
            </w:r>
          </w:p>
        </w:tc>
      </w:tr>
      <w:tr w:rsidR="006454D3" w:rsidTr="00B03FF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上虞经济开发区投资开发有限公司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17浙上虞经开AB002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jc w:val="right"/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2,506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正常</w:t>
            </w:r>
          </w:p>
        </w:tc>
      </w:tr>
      <w:tr w:rsidR="006454D3" w:rsidTr="00B03FF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瑞安经济开发区发展总公司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17浙瑞安经开AB001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jc w:val="right"/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397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正常</w:t>
            </w:r>
          </w:p>
        </w:tc>
      </w:tr>
      <w:tr w:rsidR="006454D3" w:rsidTr="00B03FF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浙江</w:t>
            </w:r>
            <w:proofErr w:type="gramStart"/>
            <w:r>
              <w:rPr>
                <w:rFonts w:ascii="彩虹粗仿宋" w:eastAsia="彩虹粗仿宋" w:hint="eastAsia"/>
                <w:color w:val="000000"/>
                <w:szCs w:val="21"/>
              </w:rPr>
              <w:t>湖州临杭城镇</w:t>
            </w:r>
            <w:proofErr w:type="gramEnd"/>
            <w:r>
              <w:rPr>
                <w:rFonts w:ascii="彩虹粗仿宋" w:eastAsia="彩虹粗仿宋" w:hint="eastAsia"/>
                <w:color w:val="000000"/>
                <w:szCs w:val="21"/>
              </w:rPr>
              <w:t>化建设有限</w:t>
            </w:r>
            <w:r>
              <w:rPr>
                <w:rFonts w:ascii="彩虹粗仿宋" w:eastAsia="彩虹粗仿宋" w:hint="eastAsia"/>
                <w:color w:val="000000"/>
                <w:szCs w:val="21"/>
              </w:rPr>
              <w:lastRenderedPageBreak/>
              <w:t>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lastRenderedPageBreak/>
              <w:t>17浙</w:t>
            </w:r>
            <w:proofErr w:type="gramStart"/>
            <w:r>
              <w:rPr>
                <w:rFonts w:ascii="彩虹粗仿宋" w:eastAsia="彩虹粗仿宋" w:hint="eastAsia"/>
                <w:color w:val="000000"/>
                <w:szCs w:val="21"/>
              </w:rPr>
              <w:t>湖州临杭</w:t>
            </w:r>
            <w:proofErr w:type="gramEnd"/>
            <w:r>
              <w:rPr>
                <w:rFonts w:ascii="彩虹粗仿宋" w:eastAsia="彩虹粗仿宋" w:hint="eastAsia"/>
                <w:color w:val="000000"/>
                <w:szCs w:val="21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jc w:val="right"/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1,564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正常</w:t>
            </w:r>
          </w:p>
        </w:tc>
      </w:tr>
      <w:tr w:rsidR="006454D3" w:rsidTr="00B03FF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lastRenderedPageBreak/>
              <w:t>新昌县梅</w:t>
            </w:r>
            <w:proofErr w:type="gramStart"/>
            <w:r>
              <w:rPr>
                <w:rFonts w:ascii="彩虹粗仿宋" w:eastAsia="彩虹粗仿宋" w:hint="eastAsia"/>
                <w:color w:val="000000"/>
                <w:szCs w:val="21"/>
              </w:rPr>
              <w:t>渚</w:t>
            </w:r>
            <w:proofErr w:type="gramEnd"/>
            <w:r>
              <w:rPr>
                <w:rFonts w:ascii="彩虹粗仿宋" w:eastAsia="彩虹粗仿宋" w:hint="eastAsia"/>
                <w:color w:val="000000"/>
                <w:szCs w:val="21"/>
              </w:rPr>
              <w:t>新城（新村）建设投资有限公司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17浙梅</w:t>
            </w:r>
            <w:proofErr w:type="gramStart"/>
            <w:r>
              <w:rPr>
                <w:rFonts w:ascii="彩虹粗仿宋" w:eastAsia="彩虹粗仿宋" w:hint="eastAsia"/>
                <w:color w:val="000000"/>
                <w:szCs w:val="21"/>
              </w:rPr>
              <w:t>渚</w:t>
            </w:r>
            <w:proofErr w:type="gramEnd"/>
            <w:r>
              <w:rPr>
                <w:rFonts w:ascii="彩虹粗仿宋" w:eastAsia="彩虹粗仿宋" w:hint="eastAsia"/>
                <w:color w:val="000000"/>
                <w:szCs w:val="21"/>
              </w:rPr>
              <w:t>新城AB002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jc w:val="right"/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373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正常</w:t>
            </w:r>
          </w:p>
        </w:tc>
      </w:tr>
      <w:tr w:rsidR="006454D3" w:rsidTr="00B03FF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瑞安经济开发区发展总公司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16浙瑞安经开AB001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jc w:val="right"/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328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正常</w:t>
            </w:r>
          </w:p>
        </w:tc>
      </w:tr>
      <w:tr w:rsidR="006454D3" w:rsidTr="00B03FF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桐乡市金源股权投资管理有限公司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16浙桐乡金源EI001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股权投资类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jc w:val="right"/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1,410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正常</w:t>
            </w:r>
          </w:p>
        </w:tc>
      </w:tr>
      <w:tr w:rsidR="006454D3" w:rsidTr="00B03FF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上虞经济开发区投资开发有限公司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17浙上虞经开AB003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jc w:val="right"/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2,506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正常</w:t>
            </w:r>
          </w:p>
        </w:tc>
      </w:tr>
      <w:tr w:rsidR="006454D3" w:rsidTr="00B03FF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瑞安经济开发区发展总公司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16浙瑞安经开AB001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jc w:val="right"/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328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正常</w:t>
            </w:r>
          </w:p>
        </w:tc>
      </w:tr>
      <w:tr w:rsidR="006454D3" w:rsidTr="00B03FF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安吉临港经济区开发建设总公司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17浙安吉临港AB001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jc w:val="right"/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1,092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正常</w:t>
            </w:r>
          </w:p>
        </w:tc>
      </w:tr>
      <w:tr w:rsidR="006454D3" w:rsidTr="00B03FF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温州市城市建设投资集团有限公司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17浙温州城投AB003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jc w:val="right"/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517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正常</w:t>
            </w:r>
          </w:p>
        </w:tc>
      </w:tr>
      <w:tr w:rsidR="006454D3" w:rsidTr="00B03FF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浙江武义城市建设有限公司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19浙武义城建AB001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jc w:val="right"/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320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正常</w:t>
            </w:r>
          </w:p>
        </w:tc>
      </w:tr>
      <w:tr w:rsidR="006454D3" w:rsidTr="00B03FF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桐庐县交通发展集团有限公司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17浙桐庐交投AB001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jc w:val="right"/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409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正常</w:t>
            </w:r>
          </w:p>
        </w:tc>
      </w:tr>
      <w:tr w:rsidR="006454D3" w:rsidTr="00B03FF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湖州吴兴东部新农村建设投资有限公司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17浙吴兴东部AB001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jc w:val="right"/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397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正常</w:t>
            </w:r>
          </w:p>
        </w:tc>
      </w:tr>
      <w:tr w:rsidR="006454D3" w:rsidTr="00B03FF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杭州临江投资发展有限公司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17</w:t>
            </w:r>
            <w:proofErr w:type="gramStart"/>
            <w:r>
              <w:rPr>
                <w:rFonts w:ascii="彩虹粗仿宋" w:eastAsia="彩虹粗仿宋" w:hint="eastAsia"/>
                <w:color w:val="000000"/>
                <w:szCs w:val="21"/>
              </w:rPr>
              <w:t>浙杭临江</w:t>
            </w:r>
            <w:proofErr w:type="gramEnd"/>
            <w:r>
              <w:rPr>
                <w:rFonts w:ascii="彩虹粗仿宋" w:eastAsia="彩虹粗仿宋" w:hint="eastAsia"/>
                <w:color w:val="000000"/>
                <w:szCs w:val="21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jc w:val="right"/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741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正常</w:t>
            </w:r>
          </w:p>
        </w:tc>
      </w:tr>
      <w:tr w:rsidR="006454D3" w:rsidTr="00B03FF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舟山市普陀建设投资有限公司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17浙</w:t>
            </w:r>
            <w:proofErr w:type="gramStart"/>
            <w:r>
              <w:rPr>
                <w:rFonts w:ascii="彩虹粗仿宋" w:eastAsia="彩虹粗仿宋" w:hint="eastAsia"/>
                <w:color w:val="000000"/>
                <w:szCs w:val="21"/>
              </w:rPr>
              <w:t>普陀建投</w:t>
            </w:r>
            <w:proofErr w:type="gramEnd"/>
            <w:r>
              <w:rPr>
                <w:rFonts w:ascii="彩虹粗仿宋" w:eastAsia="彩虹粗仿宋" w:hint="eastAsia"/>
                <w:color w:val="000000"/>
                <w:szCs w:val="21"/>
              </w:rPr>
              <w:t>AB002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jc w:val="right"/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479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正常</w:t>
            </w:r>
          </w:p>
        </w:tc>
      </w:tr>
      <w:tr w:rsidR="006454D3" w:rsidTr="00B03FF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新昌县城市建设投资发展有限公司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17浙新昌城投EB002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股权收益权类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jc w:val="right"/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381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正常</w:t>
            </w:r>
          </w:p>
        </w:tc>
      </w:tr>
      <w:tr w:rsidR="006454D3" w:rsidTr="00B03FF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新昌县城东城镇建设有限公司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17浙新昌城镇AB001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jc w:val="right"/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1,170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正常</w:t>
            </w:r>
          </w:p>
        </w:tc>
      </w:tr>
      <w:tr w:rsidR="006454D3" w:rsidTr="00B03FF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平湖市曹桥街道村镇建设开发有限责任公司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17浙</w:t>
            </w:r>
            <w:proofErr w:type="gramStart"/>
            <w:r>
              <w:rPr>
                <w:rFonts w:ascii="彩虹粗仿宋" w:eastAsia="彩虹粗仿宋" w:hint="eastAsia"/>
                <w:color w:val="000000"/>
                <w:szCs w:val="21"/>
              </w:rPr>
              <w:t>平湖曹桥</w:t>
            </w:r>
            <w:proofErr w:type="gramEnd"/>
            <w:r>
              <w:rPr>
                <w:rFonts w:ascii="彩虹粗仿宋" w:eastAsia="彩虹粗仿宋" w:hint="eastAsia"/>
                <w:color w:val="000000"/>
                <w:szCs w:val="21"/>
              </w:rPr>
              <w:t>AB001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资产收益权类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jc w:val="right"/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1,848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正常</w:t>
            </w:r>
          </w:p>
        </w:tc>
      </w:tr>
      <w:tr w:rsidR="006454D3" w:rsidTr="00B03FFC">
        <w:trPr>
          <w:trHeight w:val="240"/>
          <w:jc w:val="center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温州市</w:t>
            </w:r>
            <w:proofErr w:type="gramStart"/>
            <w:r>
              <w:rPr>
                <w:rFonts w:ascii="彩虹粗仿宋" w:eastAsia="彩虹粗仿宋" w:hint="eastAsia"/>
                <w:color w:val="000000"/>
                <w:szCs w:val="21"/>
              </w:rPr>
              <w:t>瓯</w:t>
            </w:r>
            <w:proofErr w:type="gramEnd"/>
            <w:r>
              <w:rPr>
                <w:rFonts w:ascii="彩虹粗仿宋" w:eastAsia="彩虹粗仿宋" w:hint="eastAsia"/>
                <w:color w:val="000000"/>
                <w:szCs w:val="21"/>
              </w:rPr>
              <w:t>海新城建设开发有限公司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18浙温</w:t>
            </w:r>
            <w:proofErr w:type="gramStart"/>
            <w:r>
              <w:rPr>
                <w:rFonts w:ascii="彩虹粗仿宋" w:eastAsia="彩虹粗仿宋" w:hint="eastAsia"/>
                <w:color w:val="000000"/>
                <w:szCs w:val="21"/>
              </w:rPr>
              <w:t>瓯</w:t>
            </w:r>
            <w:proofErr w:type="gramEnd"/>
            <w:r>
              <w:rPr>
                <w:rFonts w:ascii="彩虹粗仿宋" w:eastAsia="彩虹粗仿宋" w:hint="eastAsia"/>
                <w:color w:val="000000"/>
                <w:szCs w:val="21"/>
              </w:rPr>
              <w:t>海新城EI001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股权投资类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54D3" w:rsidRDefault="006454D3">
            <w:pPr>
              <w:jc w:val="right"/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381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4D3" w:rsidRDefault="006454D3">
            <w:pPr>
              <w:rPr>
                <w:rFonts w:ascii="彩虹粗仿宋" w:eastAsia="彩虹粗仿宋" w:hAnsi="宋体" w:cs="宋体"/>
                <w:color w:val="000000"/>
                <w:szCs w:val="21"/>
              </w:rPr>
            </w:pPr>
            <w:r>
              <w:rPr>
                <w:rFonts w:ascii="彩虹粗仿宋" w:eastAsia="彩虹粗仿宋" w:hint="eastAsia"/>
                <w:color w:val="000000"/>
                <w:szCs w:val="21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  <w:r w:rsidR="00CF0298">
        <w:rPr>
          <w:rFonts w:ascii="宋体" w:hAnsi="宋体" w:hint="eastAsia"/>
          <w:color w:val="000000"/>
          <w:szCs w:val="21"/>
        </w:rPr>
        <w:t>其他资产均为正常状态。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CFB" w:rsidRDefault="00382CFB" w:rsidP="00747E15">
      <w:r>
        <w:separator/>
      </w:r>
    </w:p>
  </w:endnote>
  <w:endnote w:type="continuationSeparator" w:id="0">
    <w:p w:rsidR="00382CFB" w:rsidRDefault="00382CFB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CFB" w:rsidRDefault="00382CFB" w:rsidP="00747E15">
      <w:r>
        <w:separator/>
      </w:r>
    </w:p>
  </w:footnote>
  <w:footnote w:type="continuationSeparator" w:id="0">
    <w:p w:rsidR="00382CFB" w:rsidRDefault="00382CFB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5F25"/>
    <w:rsid w:val="00026C30"/>
    <w:rsid w:val="00034EB1"/>
    <w:rsid w:val="00041CF5"/>
    <w:rsid w:val="0004473E"/>
    <w:rsid w:val="00050B6D"/>
    <w:rsid w:val="00063A00"/>
    <w:rsid w:val="00064987"/>
    <w:rsid w:val="000808AD"/>
    <w:rsid w:val="000A58C0"/>
    <w:rsid w:val="000A7A07"/>
    <w:rsid w:val="000B2257"/>
    <w:rsid w:val="000B6D04"/>
    <w:rsid w:val="000C33A9"/>
    <w:rsid w:val="000F4ED6"/>
    <w:rsid w:val="000F5E7E"/>
    <w:rsid w:val="00106270"/>
    <w:rsid w:val="00113702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864FB"/>
    <w:rsid w:val="00194B35"/>
    <w:rsid w:val="00195CFF"/>
    <w:rsid w:val="00197C1C"/>
    <w:rsid w:val="001A1254"/>
    <w:rsid w:val="001A1F0C"/>
    <w:rsid w:val="001A204D"/>
    <w:rsid w:val="001A72F7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7CF2"/>
    <w:rsid w:val="00240A06"/>
    <w:rsid w:val="00245012"/>
    <w:rsid w:val="0025384F"/>
    <w:rsid w:val="0025422F"/>
    <w:rsid w:val="00264E8C"/>
    <w:rsid w:val="00266DC8"/>
    <w:rsid w:val="00272D45"/>
    <w:rsid w:val="002767A0"/>
    <w:rsid w:val="00277A17"/>
    <w:rsid w:val="00286C46"/>
    <w:rsid w:val="00292733"/>
    <w:rsid w:val="002974F6"/>
    <w:rsid w:val="002A0C80"/>
    <w:rsid w:val="002B1B4E"/>
    <w:rsid w:val="002D029C"/>
    <w:rsid w:val="002E132D"/>
    <w:rsid w:val="002F02E2"/>
    <w:rsid w:val="002F21B2"/>
    <w:rsid w:val="002F6AD5"/>
    <w:rsid w:val="00305DE3"/>
    <w:rsid w:val="00311E44"/>
    <w:rsid w:val="00316E7D"/>
    <w:rsid w:val="00326849"/>
    <w:rsid w:val="00332886"/>
    <w:rsid w:val="00333409"/>
    <w:rsid w:val="003469B0"/>
    <w:rsid w:val="00346C2E"/>
    <w:rsid w:val="003729DF"/>
    <w:rsid w:val="00373677"/>
    <w:rsid w:val="003815E0"/>
    <w:rsid w:val="003820D9"/>
    <w:rsid w:val="00382CFB"/>
    <w:rsid w:val="0038711B"/>
    <w:rsid w:val="00391BB6"/>
    <w:rsid w:val="0039500D"/>
    <w:rsid w:val="003A24B2"/>
    <w:rsid w:val="003B5CC6"/>
    <w:rsid w:val="003D3F6C"/>
    <w:rsid w:val="003E0232"/>
    <w:rsid w:val="003E1F2F"/>
    <w:rsid w:val="003E4D8B"/>
    <w:rsid w:val="003E6CDF"/>
    <w:rsid w:val="00404027"/>
    <w:rsid w:val="004118B6"/>
    <w:rsid w:val="004159F3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35F0"/>
    <w:rsid w:val="00495958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4E6CB2"/>
    <w:rsid w:val="004F3EA9"/>
    <w:rsid w:val="005204A8"/>
    <w:rsid w:val="00532CB2"/>
    <w:rsid w:val="00553503"/>
    <w:rsid w:val="00556FF5"/>
    <w:rsid w:val="00572B33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454D3"/>
    <w:rsid w:val="00657E0A"/>
    <w:rsid w:val="00665D61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E5EA4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7323D"/>
    <w:rsid w:val="007812E4"/>
    <w:rsid w:val="00783ADA"/>
    <w:rsid w:val="00784FEC"/>
    <w:rsid w:val="00790C96"/>
    <w:rsid w:val="0079146A"/>
    <w:rsid w:val="007931FF"/>
    <w:rsid w:val="00796986"/>
    <w:rsid w:val="007A0A0E"/>
    <w:rsid w:val="007A2D9F"/>
    <w:rsid w:val="007A7935"/>
    <w:rsid w:val="007B1DC7"/>
    <w:rsid w:val="007B2D94"/>
    <w:rsid w:val="007B5435"/>
    <w:rsid w:val="007B72B7"/>
    <w:rsid w:val="007C3A4B"/>
    <w:rsid w:val="007E674C"/>
    <w:rsid w:val="007F05DC"/>
    <w:rsid w:val="007F4653"/>
    <w:rsid w:val="007F486F"/>
    <w:rsid w:val="00803A6A"/>
    <w:rsid w:val="008048AE"/>
    <w:rsid w:val="00806379"/>
    <w:rsid w:val="00806AB0"/>
    <w:rsid w:val="00814FC5"/>
    <w:rsid w:val="00821DFE"/>
    <w:rsid w:val="00835319"/>
    <w:rsid w:val="00842AD9"/>
    <w:rsid w:val="00844195"/>
    <w:rsid w:val="00852D7B"/>
    <w:rsid w:val="0088235C"/>
    <w:rsid w:val="00887E97"/>
    <w:rsid w:val="008A3209"/>
    <w:rsid w:val="008A689A"/>
    <w:rsid w:val="008C4CB4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A5DB2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06AC2"/>
    <w:rsid w:val="00A17FA5"/>
    <w:rsid w:val="00A20C0F"/>
    <w:rsid w:val="00A22C1A"/>
    <w:rsid w:val="00A25D53"/>
    <w:rsid w:val="00A4578C"/>
    <w:rsid w:val="00A47C96"/>
    <w:rsid w:val="00A620D3"/>
    <w:rsid w:val="00A66F45"/>
    <w:rsid w:val="00A735E4"/>
    <w:rsid w:val="00A8215E"/>
    <w:rsid w:val="00AB47C5"/>
    <w:rsid w:val="00AB53D1"/>
    <w:rsid w:val="00AB74F5"/>
    <w:rsid w:val="00AC0790"/>
    <w:rsid w:val="00AC12D7"/>
    <w:rsid w:val="00AC7CDE"/>
    <w:rsid w:val="00AD558F"/>
    <w:rsid w:val="00AD5E04"/>
    <w:rsid w:val="00B020F5"/>
    <w:rsid w:val="00B15284"/>
    <w:rsid w:val="00B33523"/>
    <w:rsid w:val="00B36E54"/>
    <w:rsid w:val="00B4205F"/>
    <w:rsid w:val="00B42469"/>
    <w:rsid w:val="00B466B4"/>
    <w:rsid w:val="00B71F10"/>
    <w:rsid w:val="00B93E97"/>
    <w:rsid w:val="00B97B41"/>
    <w:rsid w:val="00BA58F5"/>
    <w:rsid w:val="00BB248B"/>
    <w:rsid w:val="00BC3C60"/>
    <w:rsid w:val="00BC6C87"/>
    <w:rsid w:val="00BE070B"/>
    <w:rsid w:val="00BE147D"/>
    <w:rsid w:val="00BE1EDD"/>
    <w:rsid w:val="00BE6A47"/>
    <w:rsid w:val="00BF33D1"/>
    <w:rsid w:val="00BF403D"/>
    <w:rsid w:val="00BF7077"/>
    <w:rsid w:val="00C118E8"/>
    <w:rsid w:val="00C257ED"/>
    <w:rsid w:val="00C50A5E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CC6956"/>
    <w:rsid w:val="00CF0298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73589"/>
    <w:rsid w:val="00D84C43"/>
    <w:rsid w:val="00D87989"/>
    <w:rsid w:val="00DA5D3B"/>
    <w:rsid w:val="00DB4B6B"/>
    <w:rsid w:val="00DC041F"/>
    <w:rsid w:val="00DC0BC9"/>
    <w:rsid w:val="00DD26B0"/>
    <w:rsid w:val="00DE7BE6"/>
    <w:rsid w:val="00DF32AC"/>
    <w:rsid w:val="00E03A0F"/>
    <w:rsid w:val="00E11D2E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D783B"/>
    <w:rsid w:val="00EF0DB2"/>
    <w:rsid w:val="00EF28D6"/>
    <w:rsid w:val="00F00768"/>
    <w:rsid w:val="00F1689B"/>
    <w:rsid w:val="00F16A9F"/>
    <w:rsid w:val="00F20317"/>
    <w:rsid w:val="00F20EA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41A1"/>
    <w:rsid w:val="00F568C2"/>
    <w:rsid w:val="00F61C96"/>
    <w:rsid w:val="00F65572"/>
    <w:rsid w:val="00F65660"/>
    <w:rsid w:val="00F86C97"/>
    <w:rsid w:val="00F91F77"/>
    <w:rsid w:val="00FA0B51"/>
    <w:rsid w:val="00FB2BDB"/>
    <w:rsid w:val="00FB5E90"/>
    <w:rsid w:val="00FB7323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800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陆思佳</cp:lastModifiedBy>
  <cp:revision>4</cp:revision>
  <cp:lastPrinted>2019-01-03T08:39:00Z</cp:lastPrinted>
  <dcterms:created xsi:type="dcterms:W3CDTF">2021-12-16T03:07:00Z</dcterms:created>
  <dcterms:modified xsi:type="dcterms:W3CDTF">2021-12-16T03:30:00Z</dcterms:modified>
</cp:coreProperties>
</file>