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1"/>
        <w:gridCol w:w="994"/>
        <w:gridCol w:w="1271"/>
        <w:gridCol w:w="1135"/>
        <w:gridCol w:w="1137"/>
        <w:gridCol w:w="751"/>
        <w:gridCol w:w="954"/>
        <w:gridCol w:w="776"/>
        <w:gridCol w:w="780"/>
      </w:tblGrid>
      <w:tr w:rsidR="001C538C" w:rsidRPr="00C331A9" w:rsidTr="007E1CE8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1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4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355314" w:rsidRPr="00C331A9" w:rsidTr="00B45D60">
        <w:trPr>
          <w:trHeight w:val="576"/>
          <w:jc w:val="center"/>
        </w:trPr>
        <w:tc>
          <w:tcPr>
            <w:tcW w:w="752" w:type="pct"/>
          </w:tcPr>
          <w:p w:rsidR="00355314" w:rsidRPr="00B37A03" w:rsidRDefault="00355314" w:rsidP="00E92EEE">
            <w:r w:rsidRPr="00355314">
              <w:rPr>
                <w:rFonts w:hint="eastAsia"/>
              </w:rPr>
              <w:t>“乾元</w:t>
            </w:r>
            <w:r w:rsidRPr="00355314">
              <w:rPr>
                <w:rFonts w:hint="eastAsia"/>
              </w:rPr>
              <w:t>-</w:t>
            </w:r>
            <w:r w:rsidRPr="00355314">
              <w:rPr>
                <w:rFonts w:hint="eastAsia"/>
              </w:rPr>
              <w:t>久盈”</w:t>
            </w:r>
            <w:r w:rsidRPr="00355314">
              <w:rPr>
                <w:rFonts w:hint="eastAsia"/>
              </w:rPr>
              <w:t>2019</w:t>
            </w:r>
            <w:r w:rsidRPr="00355314">
              <w:rPr>
                <w:rFonts w:hint="eastAsia"/>
              </w:rPr>
              <w:t>年第</w:t>
            </w:r>
            <w:r w:rsidRPr="00355314">
              <w:rPr>
                <w:rFonts w:hint="eastAsia"/>
              </w:rPr>
              <w:t>133</w:t>
            </w:r>
            <w:r w:rsidRPr="00355314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355314" w:rsidRPr="00B37A03" w:rsidRDefault="00355314" w:rsidP="005550EC">
            <w:r w:rsidRPr="00355314">
              <w:t>ZJ072019133360D01</w:t>
            </w:r>
          </w:p>
        </w:tc>
        <w:tc>
          <w:tcPr>
            <w:tcW w:w="451" w:type="pct"/>
            <w:vAlign w:val="bottom"/>
          </w:tcPr>
          <w:p w:rsidR="00355314" w:rsidRPr="00B37A03" w:rsidRDefault="003553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314">
              <w:rPr>
                <w:rFonts w:ascii="Arial" w:hAnsi="Arial" w:cs="Arial"/>
                <w:color w:val="000000"/>
                <w:sz w:val="20"/>
                <w:szCs w:val="20"/>
              </w:rPr>
              <w:t>C1010519000939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355314" w:rsidRDefault="0035531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2019/5/24</w:t>
            </w:r>
          </w:p>
        </w:tc>
        <w:tc>
          <w:tcPr>
            <w:tcW w:w="515" w:type="pct"/>
            <w:vAlign w:val="center"/>
          </w:tcPr>
          <w:p w:rsidR="00355314" w:rsidRDefault="0035531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2020/3/9</w:t>
            </w:r>
          </w:p>
        </w:tc>
        <w:tc>
          <w:tcPr>
            <w:tcW w:w="516" w:type="pct"/>
            <w:vAlign w:val="center"/>
          </w:tcPr>
          <w:p w:rsidR="00355314" w:rsidRDefault="0035531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2020/3/10</w:t>
            </w:r>
          </w:p>
        </w:tc>
        <w:tc>
          <w:tcPr>
            <w:tcW w:w="341" w:type="pct"/>
            <w:vAlign w:val="center"/>
          </w:tcPr>
          <w:p w:rsidR="00355314" w:rsidRDefault="0035531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290</w:t>
            </w:r>
          </w:p>
        </w:tc>
        <w:tc>
          <w:tcPr>
            <w:tcW w:w="433" w:type="pct"/>
            <w:vAlign w:val="center"/>
          </w:tcPr>
          <w:p w:rsidR="00355314" w:rsidRDefault="0035531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355314" w:rsidRPr="004F0118" w:rsidRDefault="00355314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55314" w:rsidRPr="005A4132" w:rsidRDefault="00355314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355314" w:rsidRPr="00C331A9" w:rsidTr="001421F1">
        <w:trPr>
          <w:trHeight w:val="576"/>
          <w:jc w:val="center"/>
        </w:trPr>
        <w:tc>
          <w:tcPr>
            <w:tcW w:w="752" w:type="pct"/>
          </w:tcPr>
          <w:p w:rsidR="00355314" w:rsidRPr="00B37A03" w:rsidRDefault="00355314" w:rsidP="00E92EEE">
            <w:r w:rsidRPr="00234EF9">
              <w:rPr>
                <w:rFonts w:hint="eastAsia"/>
              </w:rPr>
              <w:t>“乾元</w:t>
            </w:r>
            <w:r w:rsidRPr="00234EF9">
              <w:rPr>
                <w:rFonts w:hint="eastAsia"/>
              </w:rPr>
              <w:t>-</w:t>
            </w:r>
            <w:r w:rsidRPr="00234EF9">
              <w:rPr>
                <w:rFonts w:hint="eastAsia"/>
              </w:rPr>
              <w:t>久盈”</w:t>
            </w:r>
            <w:r w:rsidRPr="00234EF9">
              <w:rPr>
                <w:rFonts w:hint="eastAsia"/>
              </w:rPr>
              <w:t>2019</w:t>
            </w:r>
            <w:r w:rsidRPr="00234EF9">
              <w:rPr>
                <w:rFonts w:hint="eastAsia"/>
              </w:rPr>
              <w:t>年第</w:t>
            </w:r>
            <w:r>
              <w:rPr>
                <w:rFonts w:hint="eastAsia"/>
              </w:rPr>
              <w:t>38</w:t>
            </w:r>
            <w:r w:rsidRPr="00234EF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355314" w:rsidRPr="00B37A03" w:rsidRDefault="00355314" w:rsidP="005550EC">
            <w:r w:rsidRPr="00355314">
              <w:t>ZJ072019038180D01</w:t>
            </w:r>
          </w:p>
        </w:tc>
        <w:tc>
          <w:tcPr>
            <w:tcW w:w="451" w:type="pct"/>
            <w:vAlign w:val="bottom"/>
          </w:tcPr>
          <w:p w:rsidR="00355314" w:rsidRPr="00B37A03" w:rsidRDefault="003553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314">
              <w:rPr>
                <w:rFonts w:ascii="Arial" w:hAnsi="Arial" w:cs="Arial"/>
                <w:color w:val="000000"/>
                <w:sz w:val="20"/>
                <w:szCs w:val="20"/>
              </w:rPr>
              <w:t>C1010519000724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355314" w:rsidRDefault="0035531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2019/9/19</w:t>
            </w:r>
          </w:p>
        </w:tc>
        <w:tc>
          <w:tcPr>
            <w:tcW w:w="515" w:type="pct"/>
            <w:vAlign w:val="center"/>
          </w:tcPr>
          <w:p w:rsidR="00355314" w:rsidRDefault="0035531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2020/3/11</w:t>
            </w:r>
          </w:p>
        </w:tc>
        <w:tc>
          <w:tcPr>
            <w:tcW w:w="516" w:type="pct"/>
            <w:vAlign w:val="center"/>
          </w:tcPr>
          <w:p w:rsidR="00355314" w:rsidRDefault="0035531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2020/3/12</w:t>
            </w:r>
          </w:p>
        </w:tc>
        <w:tc>
          <w:tcPr>
            <w:tcW w:w="341" w:type="pct"/>
            <w:vAlign w:val="center"/>
          </w:tcPr>
          <w:p w:rsidR="00355314" w:rsidRDefault="0035531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174</w:t>
            </w:r>
          </w:p>
        </w:tc>
        <w:tc>
          <w:tcPr>
            <w:tcW w:w="433" w:type="pct"/>
            <w:vAlign w:val="center"/>
          </w:tcPr>
          <w:p w:rsidR="00355314" w:rsidRDefault="0035531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3.65%</w:t>
            </w:r>
          </w:p>
        </w:tc>
        <w:tc>
          <w:tcPr>
            <w:tcW w:w="352" w:type="pct"/>
            <w:vAlign w:val="center"/>
          </w:tcPr>
          <w:p w:rsidR="00355314" w:rsidRPr="004F0118" w:rsidRDefault="00355314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55314" w:rsidRPr="005A4132" w:rsidRDefault="00355314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234EF9">
        <w:rPr>
          <w:rFonts w:ascii="宋体" w:hAnsi="宋体" w:hint="eastAsia"/>
          <w:szCs w:val="21"/>
        </w:rPr>
        <w:t>3</w:t>
      </w:r>
      <w:r w:rsidR="00694936" w:rsidRPr="00C331A9">
        <w:rPr>
          <w:rFonts w:ascii="宋体" w:hAnsi="宋体" w:hint="eastAsia"/>
          <w:szCs w:val="21"/>
        </w:rPr>
        <w:t>月</w:t>
      </w:r>
      <w:r w:rsidR="00355314">
        <w:rPr>
          <w:rFonts w:ascii="宋体" w:hAnsi="宋体" w:hint="eastAsia"/>
          <w:szCs w:val="21"/>
        </w:rPr>
        <w:t>13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BD" w:rsidRDefault="00CE45BD" w:rsidP="00694936">
      <w:r>
        <w:separator/>
      </w:r>
    </w:p>
  </w:endnote>
  <w:endnote w:type="continuationSeparator" w:id="0">
    <w:p w:rsidR="00CE45BD" w:rsidRDefault="00CE45BD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BD" w:rsidRDefault="00CE45BD" w:rsidP="00694936">
      <w:r>
        <w:separator/>
      </w:r>
    </w:p>
  </w:footnote>
  <w:footnote w:type="continuationSeparator" w:id="0">
    <w:p w:rsidR="00CE45BD" w:rsidRDefault="00CE45BD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17814"/>
    <w:rsid w:val="0016358A"/>
    <w:rsid w:val="00167A31"/>
    <w:rsid w:val="001835EB"/>
    <w:rsid w:val="001C0ED5"/>
    <w:rsid w:val="001C538C"/>
    <w:rsid w:val="001E0993"/>
    <w:rsid w:val="001F2A2D"/>
    <w:rsid w:val="001F4DB8"/>
    <w:rsid w:val="00234EF9"/>
    <w:rsid w:val="00254B1E"/>
    <w:rsid w:val="002E2F29"/>
    <w:rsid w:val="002F74CB"/>
    <w:rsid w:val="00302D08"/>
    <w:rsid w:val="003340B5"/>
    <w:rsid w:val="00355314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E5957"/>
    <w:rsid w:val="006F188A"/>
    <w:rsid w:val="00725DD1"/>
    <w:rsid w:val="007D2AB2"/>
    <w:rsid w:val="007E1CE8"/>
    <w:rsid w:val="007F2517"/>
    <w:rsid w:val="0080056A"/>
    <w:rsid w:val="008075D0"/>
    <w:rsid w:val="0082029D"/>
    <w:rsid w:val="00865607"/>
    <w:rsid w:val="008676A2"/>
    <w:rsid w:val="00893F16"/>
    <w:rsid w:val="008B04E7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353B8"/>
    <w:rsid w:val="00A42D37"/>
    <w:rsid w:val="00A54DBE"/>
    <w:rsid w:val="00A764AC"/>
    <w:rsid w:val="00AE00BA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C17171"/>
    <w:rsid w:val="00C331A9"/>
    <w:rsid w:val="00C51CD9"/>
    <w:rsid w:val="00C77293"/>
    <w:rsid w:val="00C80378"/>
    <w:rsid w:val="00CE2EC6"/>
    <w:rsid w:val="00CE45BD"/>
    <w:rsid w:val="00D02FE7"/>
    <w:rsid w:val="00D13204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2020-03-13T06:21:00Z</dcterms:created>
  <dcterms:modified xsi:type="dcterms:W3CDTF">2020-03-13T06:23:00Z</dcterms:modified>
</cp:coreProperties>
</file>