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7D2CEF" w:rsidRPr="00C331A9" w:rsidTr="007D2CEF">
        <w:trPr>
          <w:trHeight w:val="576"/>
          <w:jc w:val="center"/>
        </w:trPr>
        <w:tc>
          <w:tcPr>
            <w:tcW w:w="752" w:type="pct"/>
            <w:vAlign w:val="center"/>
          </w:tcPr>
          <w:p w:rsidR="007D2CEF" w:rsidRPr="00C17824" w:rsidRDefault="007D2CEF" w:rsidP="007D2CEF">
            <w:pPr>
              <w:jc w:val="center"/>
              <w:rPr>
                <w:rFonts w:hint="eastAsia"/>
              </w:rPr>
            </w:pPr>
            <w:r w:rsidRPr="00C17824">
              <w:rPr>
                <w:rFonts w:hint="eastAsia"/>
              </w:rPr>
              <w:t>“乾元</w:t>
            </w:r>
            <w:r w:rsidRPr="00C17824">
              <w:rPr>
                <w:rFonts w:hint="eastAsia"/>
              </w:rPr>
              <w:t>-</w:t>
            </w:r>
            <w:r w:rsidRPr="00C17824">
              <w:rPr>
                <w:rFonts w:hint="eastAsia"/>
              </w:rPr>
              <w:t>久盈”</w:t>
            </w:r>
            <w:r w:rsidRPr="00C17824">
              <w:rPr>
                <w:rFonts w:hint="eastAsia"/>
              </w:rPr>
              <w:t>2020</w:t>
            </w:r>
            <w:r w:rsidRPr="00C17824">
              <w:rPr>
                <w:rFonts w:hint="eastAsia"/>
              </w:rPr>
              <w:t>年第</w:t>
            </w:r>
            <w:r w:rsidRPr="00C17824">
              <w:rPr>
                <w:rFonts w:hint="eastAsia"/>
              </w:rPr>
              <w:t>43</w:t>
            </w:r>
            <w:r w:rsidRPr="00C17824">
              <w:rPr>
                <w:rFonts w:hint="eastAsia"/>
              </w:rPr>
              <w:t>期</w:t>
            </w:r>
            <w:r w:rsidRPr="00C17824">
              <w:rPr>
                <w:rFonts w:hint="eastAsia"/>
              </w:rPr>
              <w:t>(</w:t>
            </w:r>
            <w:r w:rsidRPr="00C17824">
              <w:rPr>
                <w:rFonts w:hint="eastAsia"/>
              </w:rPr>
              <w:t>理财季专享）</w:t>
            </w:r>
          </w:p>
        </w:tc>
        <w:tc>
          <w:tcPr>
            <w:tcW w:w="708" w:type="pct"/>
            <w:vAlign w:val="center"/>
          </w:tcPr>
          <w:p w:rsidR="007D2CEF" w:rsidRPr="00D75609" w:rsidRDefault="007D2CEF" w:rsidP="007D2CEF">
            <w:r w:rsidRPr="00D75609">
              <w:t>ZJ072020043180D01</w:t>
            </w:r>
          </w:p>
        </w:tc>
        <w:tc>
          <w:tcPr>
            <w:tcW w:w="451" w:type="pct"/>
            <w:vAlign w:val="center"/>
          </w:tcPr>
          <w:p w:rsidR="007D2CEF" w:rsidRPr="00844889" w:rsidRDefault="007D2CEF" w:rsidP="007D2CEF">
            <w:r w:rsidRPr="00844889">
              <w:t>C1010520008422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2020/11/5</w:t>
            </w:r>
          </w:p>
        </w:tc>
        <w:tc>
          <w:tcPr>
            <w:tcW w:w="515" w:type="pct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2021/3/18</w:t>
            </w:r>
          </w:p>
        </w:tc>
        <w:tc>
          <w:tcPr>
            <w:tcW w:w="579" w:type="pct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2021/3/19</w:t>
            </w:r>
          </w:p>
        </w:tc>
        <w:tc>
          <w:tcPr>
            <w:tcW w:w="322" w:type="pct"/>
            <w:vAlign w:val="center"/>
          </w:tcPr>
          <w:p w:rsidR="007D2CEF" w:rsidRPr="00592B12" w:rsidRDefault="007D2CEF" w:rsidP="007D2CEF">
            <w:pPr>
              <w:jc w:val="center"/>
            </w:pPr>
            <w:r w:rsidRPr="00592B12">
              <w:t>133</w:t>
            </w:r>
          </w:p>
        </w:tc>
        <w:tc>
          <w:tcPr>
            <w:tcW w:w="388" w:type="pct"/>
            <w:vAlign w:val="center"/>
          </w:tcPr>
          <w:p w:rsidR="007D2CEF" w:rsidRPr="00592B12" w:rsidRDefault="007D2CEF" w:rsidP="007D2CEF">
            <w:pPr>
              <w:jc w:val="center"/>
            </w:pPr>
            <w:r w:rsidRPr="00592B12">
              <w:t>3.60%</w:t>
            </w:r>
          </w:p>
        </w:tc>
        <w:tc>
          <w:tcPr>
            <w:tcW w:w="352" w:type="pct"/>
            <w:vAlign w:val="center"/>
          </w:tcPr>
          <w:p w:rsidR="007D2CEF" w:rsidRPr="00B46202" w:rsidRDefault="007D2CEF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7D2CEF" w:rsidRPr="00B46202" w:rsidRDefault="007D2CEF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7D2CEF" w:rsidRPr="00C331A9" w:rsidTr="007D2CEF">
        <w:trPr>
          <w:trHeight w:val="576"/>
          <w:jc w:val="center"/>
        </w:trPr>
        <w:tc>
          <w:tcPr>
            <w:tcW w:w="752" w:type="pct"/>
            <w:vAlign w:val="center"/>
          </w:tcPr>
          <w:p w:rsidR="007D2CEF" w:rsidRPr="00C17824" w:rsidRDefault="007D2CEF" w:rsidP="007D2CEF">
            <w:pPr>
              <w:jc w:val="center"/>
              <w:rPr>
                <w:rFonts w:hint="eastAsia"/>
              </w:rPr>
            </w:pPr>
            <w:r w:rsidRPr="00C17824">
              <w:rPr>
                <w:rFonts w:hint="eastAsia"/>
              </w:rPr>
              <w:t>“乾元</w:t>
            </w:r>
            <w:r w:rsidRPr="00C17824">
              <w:rPr>
                <w:rFonts w:hint="eastAsia"/>
              </w:rPr>
              <w:t>-</w:t>
            </w:r>
            <w:r w:rsidRPr="00C17824">
              <w:rPr>
                <w:rFonts w:hint="eastAsia"/>
              </w:rPr>
              <w:t>久盈”</w:t>
            </w:r>
            <w:r w:rsidRPr="00C17824">
              <w:rPr>
                <w:rFonts w:hint="eastAsia"/>
              </w:rPr>
              <w:t>2020</w:t>
            </w:r>
            <w:r w:rsidRPr="00C17824">
              <w:rPr>
                <w:rFonts w:hint="eastAsia"/>
              </w:rPr>
              <w:t>年第</w:t>
            </w:r>
            <w:r w:rsidRPr="00C17824">
              <w:rPr>
                <w:rFonts w:hint="eastAsia"/>
              </w:rPr>
              <w:t>116</w:t>
            </w:r>
            <w:r w:rsidRPr="00C17824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7D2CEF" w:rsidRPr="00D75609" w:rsidRDefault="007D2CEF" w:rsidP="007D2CEF">
            <w:r w:rsidRPr="00D75609">
              <w:t>ZJ072020116360D01</w:t>
            </w:r>
          </w:p>
        </w:tc>
        <w:tc>
          <w:tcPr>
            <w:tcW w:w="451" w:type="pct"/>
            <w:vAlign w:val="center"/>
          </w:tcPr>
          <w:p w:rsidR="007D2CEF" w:rsidRPr="00844889" w:rsidRDefault="007D2CEF" w:rsidP="007D2CEF">
            <w:r w:rsidRPr="00844889">
              <w:t>C1010520003875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2020/9/17</w:t>
            </w:r>
          </w:p>
        </w:tc>
        <w:tc>
          <w:tcPr>
            <w:tcW w:w="515" w:type="pct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2021/3/18</w:t>
            </w:r>
          </w:p>
        </w:tc>
        <w:tc>
          <w:tcPr>
            <w:tcW w:w="579" w:type="pct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2021/3/19</w:t>
            </w:r>
          </w:p>
        </w:tc>
        <w:tc>
          <w:tcPr>
            <w:tcW w:w="322" w:type="pct"/>
            <w:vAlign w:val="center"/>
          </w:tcPr>
          <w:p w:rsidR="007D2CEF" w:rsidRPr="00592B12" w:rsidRDefault="007D2CEF" w:rsidP="007D2CEF">
            <w:pPr>
              <w:jc w:val="center"/>
            </w:pPr>
            <w:r w:rsidRPr="00592B12">
              <w:t>182</w:t>
            </w:r>
          </w:p>
        </w:tc>
        <w:tc>
          <w:tcPr>
            <w:tcW w:w="388" w:type="pct"/>
            <w:vAlign w:val="center"/>
          </w:tcPr>
          <w:p w:rsidR="007D2CEF" w:rsidRPr="00592B12" w:rsidRDefault="007D2CEF" w:rsidP="007D2CEF">
            <w:pPr>
              <w:jc w:val="center"/>
            </w:pPr>
            <w:r w:rsidRPr="00592B12">
              <w:t>3.60%</w:t>
            </w:r>
          </w:p>
        </w:tc>
        <w:tc>
          <w:tcPr>
            <w:tcW w:w="352" w:type="pct"/>
            <w:vAlign w:val="center"/>
          </w:tcPr>
          <w:p w:rsidR="007D2CEF" w:rsidRPr="00B46202" w:rsidRDefault="007D2CEF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7D2CEF" w:rsidRPr="00B46202" w:rsidRDefault="007D2CEF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7D2CEF" w:rsidRPr="00C331A9" w:rsidTr="007D2CEF">
        <w:trPr>
          <w:trHeight w:val="576"/>
          <w:jc w:val="center"/>
        </w:trPr>
        <w:tc>
          <w:tcPr>
            <w:tcW w:w="752" w:type="pct"/>
            <w:vAlign w:val="center"/>
          </w:tcPr>
          <w:p w:rsidR="007D2CEF" w:rsidRDefault="007D2CEF" w:rsidP="007D2CEF">
            <w:pPr>
              <w:jc w:val="center"/>
            </w:pPr>
            <w:r w:rsidRPr="00C17824">
              <w:rPr>
                <w:rFonts w:hint="eastAsia"/>
              </w:rPr>
              <w:t>“乾元</w:t>
            </w:r>
            <w:r w:rsidRPr="00C17824">
              <w:rPr>
                <w:rFonts w:hint="eastAsia"/>
              </w:rPr>
              <w:t>-</w:t>
            </w:r>
            <w:r w:rsidRPr="00C17824">
              <w:rPr>
                <w:rFonts w:hint="eastAsia"/>
              </w:rPr>
              <w:t>嘉盈”</w:t>
            </w:r>
            <w:r w:rsidRPr="00C17824">
              <w:rPr>
                <w:rFonts w:hint="eastAsia"/>
              </w:rPr>
              <w:t>2020</w:t>
            </w:r>
            <w:r w:rsidRPr="00C17824">
              <w:rPr>
                <w:rFonts w:hint="eastAsia"/>
              </w:rPr>
              <w:t>年第</w:t>
            </w:r>
            <w:r w:rsidRPr="00C17824">
              <w:rPr>
                <w:rFonts w:hint="eastAsia"/>
              </w:rPr>
              <w:t>41</w:t>
            </w:r>
            <w:r w:rsidRPr="00C17824">
              <w:rPr>
                <w:rFonts w:hint="eastAsia"/>
              </w:rPr>
              <w:t>期</w:t>
            </w:r>
            <w:r w:rsidRPr="00C17824">
              <w:rPr>
                <w:rFonts w:hint="eastAsia"/>
              </w:rPr>
              <w:t>(</w:t>
            </w:r>
            <w:r w:rsidRPr="00C17824">
              <w:rPr>
                <w:rFonts w:hint="eastAsia"/>
              </w:rPr>
              <w:t>理财</w:t>
            </w:r>
            <w:proofErr w:type="gramStart"/>
            <w:r w:rsidRPr="00C17824">
              <w:rPr>
                <w:rFonts w:hint="eastAsia"/>
              </w:rPr>
              <w:t>季众享</w:t>
            </w:r>
            <w:proofErr w:type="gramEnd"/>
            <w:r w:rsidRPr="00C17824">
              <w:rPr>
                <w:rFonts w:hint="eastAsia"/>
              </w:rPr>
              <w:t>）</w:t>
            </w:r>
          </w:p>
        </w:tc>
        <w:tc>
          <w:tcPr>
            <w:tcW w:w="708" w:type="pct"/>
            <w:vAlign w:val="center"/>
          </w:tcPr>
          <w:p w:rsidR="007D2CEF" w:rsidRDefault="007D2CEF" w:rsidP="007D2CEF">
            <w:r w:rsidRPr="00D75609">
              <w:t>ZJ072020501041D01</w:t>
            </w:r>
          </w:p>
        </w:tc>
        <w:tc>
          <w:tcPr>
            <w:tcW w:w="451" w:type="pct"/>
            <w:vAlign w:val="center"/>
          </w:tcPr>
          <w:p w:rsidR="007D2CEF" w:rsidRDefault="007D2CEF" w:rsidP="007D2CEF">
            <w:r w:rsidRPr="00844889">
              <w:t>C1010520009073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2020/11/26</w:t>
            </w:r>
          </w:p>
        </w:tc>
        <w:tc>
          <w:tcPr>
            <w:tcW w:w="515" w:type="pct"/>
            <w:vAlign w:val="center"/>
          </w:tcPr>
          <w:p w:rsidR="007D2CEF" w:rsidRPr="007F245C" w:rsidRDefault="007D2CEF" w:rsidP="007D2CEF">
            <w:pPr>
              <w:jc w:val="center"/>
            </w:pPr>
            <w:r w:rsidRPr="007F245C">
              <w:t>2021/3/18</w:t>
            </w:r>
          </w:p>
        </w:tc>
        <w:tc>
          <w:tcPr>
            <w:tcW w:w="579" w:type="pct"/>
            <w:vAlign w:val="center"/>
          </w:tcPr>
          <w:p w:rsidR="007D2CEF" w:rsidRDefault="007D2CEF" w:rsidP="007D2CEF">
            <w:pPr>
              <w:jc w:val="center"/>
            </w:pPr>
            <w:r w:rsidRPr="007F245C">
              <w:t>2021/3/19</w:t>
            </w:r>
          </w:p>
        </w:tc>
        <w:tc>
          <w:tcPr>
            <w:tcW w:w="322" w:type="pct"/>
            <w:vAlign w:val="center"/>
          </w:tcPr>
          <w:p w:rsidR="007D2CEF" w:rsidRPr="00592B12" w:rsidRDefault="007D2CEF" w:rsidP="007D2CEF">
            <w:pPr>
              <w:jc w:val="center"/>
            </w:pPr>
            <w:r w:rsidRPr="00592B12">
              <w:t>112</w:t>
            </w:r>
          </w:p>
        </w:tc>
        <w:tc>
          <w:tcPr>
            <w:tcW w:w="388" w:type="pct"/>
            <w:vAlign w:val="center"/>
          </w:tcPr>
          <w:p w:rsidR="007D2CEF" w:rsidRDefault="007D2CEF" w:rsidP="007D2CEF">
            <w:pPr>
              <w:jc w:val="center"/>
            </w:pPr>
            <w:r w:rsidRPr="00592B12">
              <w:t>3.60%</w:t>
            </w:r>
          </w:p>
        </w:tc>
        <w:tc>
          <w:tcPr>
            <w:tcW w:w="352" w:type="pct"/>
            <w:vAlign w:val="center"/>
          </w:tcPr>
          <w:p w:rsidR="007D2CEF" w:rsidRPr="00B46202" w:rsidRDefault="007D2CEF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7D2CEF" w:rsidRPr="00B46202" w:rsidRDefault="007D2CEF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EC30B4" w:rsidRPr="00C331A9" w:rsidTr="00EC30B4">
        <w:trPr>
          <w:trHeight w:val="576"/>
          <w:jc w:val="center"/>
        </w:trPr>
        <w:tc>
          <w:tcPr>
            <w:tcW w:w="752" w:type="pct"/>
            <w:vAlign w:val="center"/>
          </w:tcPr>
          <w:p w:rsidR="00EC30B4" w:rsidRPr="00321FEE" w:rsidRDefault="00EC30B4" w:rsidP="00EC30B4"/>
        </w:tc>
        <w:tc>
          <w:tcPr>
            <w:tcW w:w="708" w:type="pct"/>
            <w:vAlign w:val="center"/>
          </w:tcPr>
          <w:p w:rsidR="00EC30B4" w:rsidRPr="00DD2B53" w:rsidRDefault="00EC30B4" w:rsidP="00EC30B4"/>
        </w:tc>
        <w:tc>
          <w:tcPr>
            <w:tcW w:w="451" w:type="pct"/>
            <w:vAlign w:val="center"/>
          </w:tcPr>
          <w:p w:rsidR="00EC30B4" w:rsidRPr="00C901A8" w:rsidRDefault="00EC30B4" w:rsidP="00EC30B4"/>
        </w:tc>
        <w:tc>
          <w:tcPr>
            <w:tcW w:w="579" w:type="pct"/>
            <w:shd w:val="clear" w:color="auto" w:fill="auto"/>
            <w:vAlign w:val="center"/>
          </w:tcPr>
          <w:p w:rsidR="00EC30B4" w:rsidRPr="007F7820" w:rsidRDefault="00EC30B4" w:rsidP="00EC30B4"/>
        </w:tc>
        <w:tc>
          <w:tcPr>
            <w:tcW w:w="515" w:type="pct"/>
            <w:vAlign w:val="center"/>
          </w:tcPr>
          <w:p w:rsidR="00EC30B4" w:rsidRPr="007F7820" w:rsidRDefault="00EC30B4" w:rsidP="00EC30B4"/>
        </w:tc>
        <w:tc>
          <w:tcPr>
            <w:tcW w:w="579" w:type="pct"/>
            <w:vAlign w:val="center"/>
          </w:tcPr>
          <w:p w:rsidR="00EC30B4" w:rsidRPr="007F7820" w:rsidRDefault="00EC30B4" w:rsidP="00EC30B4"/>
        </w:tc>
        <w:tc>
          <w:tcPr>
            <w:tcW w:w="322" w:type="pct"/>
            <w:vAlign w:val="center"/>
          </w:tcPr>
          <w:p w:rsidR="00EC30B4" w:rsidRPr="00C21F1B" w:rsidRDefault="00EC30B4" w:rsidP="00EC30B4"/>
        </w:tc>
        <w:tc>
          <w:tcPr>
            <w:tcW w:w="388" w:type="pct"/>
            <w:vAlign w:val="center"/>
          </w:tcPr>
          <w:p w:rsidR="00EC30B4" w:rsidRPr="00C21F1B" w:rsidRDefault="00EC30B4" w:rsidP="00EC30B4"/>
        </w:tc>
        <w:tc>
          <w:tcPr>
            <w:tcW w:w="352" w:type="pct"/>
            <w:vAlign w:val="center"/>
          </w:tcPr>
          <w:p w:rsidR="00EC30B4" w:rsidRPr="00B46202" w:rsidRDefault="00EC30B4" w:rsidP="00EC30B4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EC30B4" w:rsidRPr="00B46202" w:rsidRDefault="00EC30B4" w:rsidP="00EC30B4">
            <w:pPr>
              <w:rPr>
                <w:sz w:val="20"/>
                <w:szCs w:val="20"/>
              </w:rPr>
            </w:pPr>
          </w:p>
        </w:tc>
      </w:tr>
      <w:tr w:rsidR="00EC30B4" w:rsidRPr="00C331A9" w:rsidTr="00EC30B4">
        <w:trPr>
          <w:trHeight w:val="576"/>
          <w:jc w:val="center"/>
        </w:trPr>
        <w:tc>
          <w:tcPr>
            <w:tcW w:w="752" w:type="pct"/>
            <w:vAlign w:val="center"/>
          </w:tcPr>
          <w:p w:rsidR="00EC30B4" w:rsidRDefault="00EC30B4" w:rsidP="00EC30B4"/>
        </w:tc>
        <w:tc>
          <w:tcPr>
            <w:tcW w:w="708" w:type="pct"/>
            <w:vAlign w:val="center"/>
          </w:tcPr>
          <w:p w:rsidR="00EC30B4" w:rsidRDefault="00EC30B4" w:rsidP="00EC30B4"/>
        </w:tc>
        <w:tc>
          <w:tcPr>
            <w:tcW w:w="451" w:type="pct"/>
            <w:vAlign w:val="center"/>
          </w:tcPr>
          <w:p w:rsidR="00EC30B4" w:rsidRDefault="00EC30B4" w:rsidP="00EC30B4"/>
        </w:tc>
        <w:tc>
          <w:tcPr>
            <w:tcW w:w="579" w:type="pct"/>
            <w:shd w:val="clear" w:color="auto" w:fill="auto"/>
            <w:vAlign w:val="center"/>
          </w:tcPr>
          <w:p w:rsidR="00EC30B4" w:rsidRPr="007F7820" w:rsidRDefault="00EC30B4" w:rsidP="00EC30B4"/>
        </w:tc>
        <w:tc>
          <w:tcPr>
            <w:tcW w:w="515" w:type="pct"/>
            <w:vAlign w:val="center"/>
          </w:tcPr>
          <w:p w:rsidR="00EC30B4" w:rsidRPr="007F7820" w:rsidRDefault="00EC30B4" w:rsidP="00EC30B4"/>
        </w:tc>
        <w:tc>
          <w:tcPr>
            <w:tcW w:w="579" w:type="pct"/>
            <w:vAlign w:val="center"/>
          </w:tcPr>
          <w:p w:rsidR="00EC30B4" w:rsidRDefault="00EC30B4" w:rsidP="00EC30B4"/>
        </w:tc>
        <w:tc>
          <w:tcPr>
            <w:tcW w:w="322" w:type="pct"/>
            <w:vAlign w:val="center"/>
          </w:tcPr>
          <w:p w:rsidR="00EC30B4" w:rsidRPr="00C21F1B" w:rsidRDefault="00EC30B4" w:rsidP="00EC30B4"/>
        </w:tc>
        <w:tc>
          <w:tcPr>
            <w:tcW w:w="388" w:type="pct"/>
            <w:vAlign w:val="center"/>
          </w:tcPr>
          <w:p w:rsidR="00EC30B4" w:rsidRDefault="00EC30B4" w:rsidP="00EC30B4"/>
        </w:tc>
        <w:tc>
          <w:tcPr>
            <w:tcW w:w="352" w:type="pct"/>
            <w:vAlign w:val="center"/>
          </w:tcPr>
          <w:p w:rsidR="00EC30B4" w:rsidRPr="00B46202" w:rsidRDefault="00EC30B4" w:rsidP="00EC30B4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EC30B4" w:rsidRPr="00B46202" w:rsidRDefault="00EC30B4" w:rsidP="00EC30B4">
            <w:pPr>
              <w:rPr>
                <w:sz w:val="20"/>
                <w:szCs w:val="20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2050F6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7D2CEF">
        <w:rPr>
          <w:rFonts w:ascii="宋体" w:hAnsi="宋体" w:hint="eastAsia"/>
          <w:szCs w:val="21"/>
        </w:rPr>
        <w:t>24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6B" w:rsidRDefault="00FD756B" w:rsidP="00694936">
      <w:r>
        <w:separator/>
      </w:r>
    </w:p>
  </w:endnote>
  <w:endnote w:type="continuationSeparator" w:id="0">
    <w:p w:rsidR="00FD756B" w:rsidRDefault="00FD756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6B" w:rsidRDefault="00FD756B" w:rsidP="00694936">
      <w:r>
        <w:separator/>
      </w:r>
    </w:p>
  </w:footnote>
  <w:footnote w:type="continuationSeparator" w:id="0">
    <w:p w:rsidR="00FD756B" w:rsidRDefault="00FD756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96AC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4C81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050F6"/>
    <w:rsid w:val="002337A9"/>
    <w:rsid w:val="00234EF9"/>
    <w:rsid w:val="00254B1E"/>
    <w:rsid w:val="00266590"/>
    <w:rsid w:val="002670FB"/>
    <w:rsid w:val="00271EF8"/>
    <w:rsid w:val="0027237E"/>
    <w:rsid w:val="002A3750"/>
    <w:rsid w:val="002D6BAE"/>
    <w:rsid w:val="002E2F29"/>
    <w:rsid w:val="002F74CB"/>
    <w:rsid w:val="00302D08"/>
    <w:rsid w:val="00322919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4377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5472B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D2CEF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46202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568D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C30B4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D756B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15</cp:revision>
  <dcterms:created xsi:type="dcterms:W3CDTF">2020-12-17T07:17:00Z</dcterms:created>
  <dcterms:modified xsi:type="dcterms:W3CDTF">2021-03-24T07:00:00Z</dcterms:modified>
</cp:coreProperties>
</file>