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DD26B0" w:rsidRPr="00FB7323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72B33">
        <w:rPr>
          <w:rFonts w:asciiTheme="minorEastAsia" w:eastAsiaTheme="minorEastAsia" w:hAnsiTheme="minorEastAsia" w:hint="eastAsia"/>
          <w:color w:val="000000"/>
          <w:szCs w:val="21"/>
        </w:rPr>
        <w:t>4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="00572B33">
        <w:rPr>
          <w:rFonts w:asciiTheme="minorEastAsia" w:eastAsiaTheme="minorEastAsia" w:hAnsiTheme="minorEastAsia" w:hint="eastAsia"/>
          <w:color w:val="000000"/>
          <w:szCs w:val="21"/>
        </w:rPr>
        <w:t>5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572B33" w:rsidRPr="00572B33">
        <w:rPr>
          <w:rFonts w:asciiTheme="minorEastAsia" w:eastAsiaTheme="minorEastAsia" w:hAnsiTheme="minorEastAsia"/>
          <w:color w:val="000000"/>
          <w:sz w:val="28"/>
          <w:szCs w:val="28"/>
        </w:rPr>
        <w:t>767,534.14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p w:rsidR="00FB7323" w:rsidRPr="00FB7323" w:rsidRDefault="00FB7323" w:rsidP="00FB7323">
      <w:pPr>
        <w:ind w:firstLineChars="200" w:firstLine="36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>单位：天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FB7323" w:rsidRPr="00FB7323" w:rsidTr="00572B33">
        <w:trPr>
          <w:trHeight w:val="473"/>
          <w:jc w:val="center"/>
        </w:trPr>
        <w:tc>
          <w:tcPr>
            <w:tcW w:w="1123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FB7323" w:rsidRPr="00FB7323" w:rsidTr="00572B33">
        <w:trPr>
          <w:trHeight w:val="778"/>
          <w:jc w:val="center"/>
        </w:trPr>
        <w:tc>
          <w:tcPr>
            <w:tcW w:w="1123" w:type="dxa"/>
            <w:vAlign w:val="bottom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2.5%</w:t>
            </w:r>
          </w:p>
        </w:tc>
        <w:tc>
          <w:tcPr>
            <w:tcW w:w="1051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2.7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3.20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3.30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3.50%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23" w:rsidRPr="00FB7323" w:rsidRDefault="00FB7323" w:rsidP="00FB7323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3.70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FB7323" w:rsidRPr="00FB7323" w:rsidRDefault="00FB7323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B7323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注： T为投资期 </w:t>
      </w: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418"/>
        <w:gridCol w:w="1842"/>
      </w:tblGrid>
      <w:tr w:rsidR="005204A8" w:rsidTr="00311E4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842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现金及银行存款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238,391.14</w:t>
            </w: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19.42</w:t>
            </w: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238,391.14</w:t>
            </w: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19.42</w:t>
            </w: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299,047.68</w:t>
            </w: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24.36</w:t>
            </w: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299,047.68</w:t>
            </w: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24.36</w:t>
            </w: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0C33A9" w:rsidRDefault="000C33A9" w:rsidP="002E132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367608.28</w:t>
            </w: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29.94</w:t>
            </w: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367608.28</w:t>
            </w: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29.94</w:t>
            </w: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322,698.88</w:t>
            </w: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26.28</w:t>
            </w: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C33A9">
              <w:rPr>
                <w:rFonts w:ascii="宋体" w:hAnsi="宋体" w:cs="宋体"/>
                <w:kern w:val="0"/>
              </w:rPr>
              <w:t>322,698.88</w:t>
            </w: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26.28</w:t>
            </w: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C33A9" w:rsidTr="00A06288">
        <w:trPr>
          <w:trHeight w:val="285"/>
          <w:jc w:val="center"/>
        </w:trPr>
        <w:tc>
          <w:tcPr>
            <w:tcW w:w="2547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0C33A9" w:rsidRDefault="000C33A9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227745.97</w:t>
            </w:r>
          </w:p>
        </w:tc>
        <w:tc>
          <w:tcPr>
            <w:tcW w:w="1740" w:type="dxa"/>
            <w:vAlign w:val="center"/>
          </w:tcPr>
          <w:p w:rsidR="000C33A9" w:rsidRDefault="000C33A9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0C33A9" w:rsidRDefault="000C33A9" w:rsidP="00AE44E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11E4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227745.97</w:t>
            </w:r>
          </w:p>
        </w:tc>
        <w:tc>
          <w:tcPr>
            <w:tcW w:w="1842" w:type="dxa"/>
            <w:vAlign w:val="center"/>
          </w:tcPr>
          <w:p w:rsidR="000C33A9" w:rsidRDefault="000C33A9" w:rsidP="00AE44E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浙江</w:t>
            </w:r>
            <w:r w:rsidRPr="007C1B92">
              <w:rPr>
                <w:rFonts w:hint="eastAsia"/>
              </w:rPr>
              <w:t>-</w:t>
            </w:r>
            <w:r w:rsidRPr="007C1B92">
              <w:rPr>
                <w:rFonts w:hint="eastAsia"/>
              </w:rPr>
              <w:t>建信基金现金添利</w:t>
            </w:r>
            <w:r w:rsidRPr="007C1B92">
              <w:rPr>
                <w:rFonts w:hint="eastAsia"/>
              </w:rPr>
              <w:t>B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1,200,000,000.00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14.11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浙江</w:t>
            </w:r>
            <w:r w:rsidRPr="007C1B92">
              <w:rPr>
                <w:rFonts w:hint="eastAsia"/>
              </w:rPr>
              <w:t>-</w:t>
            </w:r>
            <w:r w:rsidRPr="007C1B92">
              <w:rPr>
                <w:rFonts w:hint="eastAsia"/>
              </w:rPr>
              <w:t>华宝现金添益</w:t>
            </w:r>
            <w:r w:rsidRPr="007C1B92">
              <w:rPr>
                <w:rFonts w:hint="eastAsia"/>
              </w:rPr>
              <w:t>B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1,000,000,000.00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11.76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浙江</w:t>
            </w:r>
            <w:r w:rsidRPr="007C1B92">
              <w:rPr>
                <w:rFonts w:hint="eastAsia"/>
              </w:rPr>
              <w:t>-</w:t>
            </w:r>
            <w:r w:rsidRPr="007C1B92">
              <w:rPr>
                <w:rFonts w:hint="eastAsia"/>
              </w:rPr>
              <w:t>建信基金现金增利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1,000,000,000.00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11.76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17</w:t>
            </w:r>
            <w:r w:rsidRPr="007C1B92">
              <w:rPr>
                <w:rFonts w:hint="eastAsia"/>
              </w:rPr>
              <w:t>农业银行二级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350,000,000.00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4.11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17</w:t>
            </w:r>
            <w:r w:rsidRPr="007C1B92">
              <w:rPr>
                <w:rFonts w:hint="eastAsia"/>
              </w:rPr>
              <w:t>浙德清联创</w:t>
            </w:r>
            <w:r w:rsidRPr="007C1B92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206,000,000.00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2.42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18</w:t>
            </w:r>
            <w:proofErr w:type="gramStart"/>
            <w:r w:rsidRPr="007C1B92">
              <w:rPr>
                <w:rFonts w:hint="eastAsia"/>
              </w:rPr>
              <w:t>秀湖债</w:t>
            </w:r>
            <w:proofErr w:type="gramEnd"/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200,000,000.00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2.35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20</w:t>
            </w:r>
            <w:r w:rsidRPr="007C1B92">
              <w:rPr>
                <w:rFonts w:hint="eastAsia"/>
              </w:rPr>
              <w:t>嘉善国资</w:t>
            </w:r>
            <w:r w:rsidRPr="007C1B92">
              <w:rPr>
                <w:rFonts w:hint="eastAsia"/>
              </w:rPr>
              <w:t>CP001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200,000,000.00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2.35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17</w:t>
            </w:r>
            <w:r w:rsidRPr="007C1B92">
              <w:rPr>
                <w:rFonts w:hint="eastAsia"/>
              </w:rPr>
              <w:t>浙温州城投</w:t>
            </w:r>
            <w:r w:rsidRPr="007C1B92">
              <w:rPr>
                <w:rFonts w:hint="eastAsia"/>
              </w:rPr>
              <w:t>AB003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175,356,090.68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2.06 </w:t>
            </w:r>
          </w:p>
        </w:tc>
      </w:tr>
      <w:tr w:rsidR="003A24B2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建交</w:t>
            </w:r>
            <w:r w:rsidRPr="007C1B92">
              <w:rPr>
                <w:rFonts w:hint="eastAsia"/>
              </w:rPr>
              <w:t>01</w:t>
            </w:r>
            <w:r w:rsidRPr="007C1B92">
              <w:rPr>
                <w:rFonts w:hint="eastAsia"/>
              </w:rPr>
              <w:t>次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170,000,000.00 </w:t>
            </w:r>
          </w:p>
        </w:tc>
        <w:tc>
          <w:tcPr>
            <w:tcW w:w="185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2.00 </w:t>
            </w:r>
          </w:p>
        </w:tc>
      </w:tr>
      <w:tr w:rsidR="003A24B2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3A24B2" w:rsidRPr="00C720CE" w:rsidRDefault="003A24B2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>18</w:t>
            </w:r>
            <w:r w:rsidRPr="007C1B92">
              <w:rPr>
                <w:rFonts w:hint="eastAsia"/>
              </w:rPr>
              <w:t>天津银行二级</w:t>
            </w:r>
          </w:p>
        </w:tc>
        <w:tc>
          <w:tcPr>
            <w:tcW w:w="1841" w:type="dxa"/>
          </w:tcPr>
          <w:p w:rsidR="003A24B2" w:rsidRPr="007C1B92" w:rsidRDefault="003A24B2" w:rsidP="009C6E5D">
            <w:r w:rsidRPr="007C1B92">
              <w:rPr>
                <w:rFonts w:hint="eastAsia"/>
              </w:rPr>
              <w:t xml:space="preserve"> 154,717,704.45 </w:t>
            </w:r>
          </w:p>
        </w:tc>
        <w:tc>
          <w:tcPr>
            <w:tcW w:w="1859" w:type="dxa"/>
          </w:tcPr>
          <w:p w:rsidR="003A24B2" w:rsidRDefault="003A24B2" w:rsidP="009C6E5D">
            <w:r w:rsidRPr="007C1B92">
              <w:rPr>
                <w:rFonts w:hint="eastAsia"/>
              </w:rPr>
              <w:t xml:space="preserve">1.82 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(简称“乾元-聚盈”理财产品)的托管人，依据相关规章的约定，履行托管人职责。现将2020年1月 1日至2020年3月31日期间“乾元-聚盈”理财产品的托管情况报告如下。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报告期末资产分布形态分布为活期存款、同业存款、债券资产、货币基金及高收益资产等，期末资产规模 为 767534.14万元。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二、报告期“乾元-聚盈” 理财产品开展投资情况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期间累计投资债券资产4.9亿元，货币基金30.07亿元，高收益资产 23.92亿元。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期间支付托管费1292124.85 元，支付销售费用7752749.12元。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支付管理费56107458.43元。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四、报告期产品设立机构履行受托职责的情况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E03A0F" w:rsidP="00E03A0F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4E6CB2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4E6CB2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65D61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65D61">
        <w:rPr>
          <w:rFonts w:ascii="宋体" w:hAnsi="宋体" w:hint="eastAsia"/>
          <w:color w:val="000000"/>
          <w:szCs w:val="21"/>
        </w:rPr>
        <w:t>17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proofErr w:type="spellStart"/>
      <w:r>
        <w:rPr>
          <w:rFonts w:ascii="宋体" w:hAnsi="宋体" w:hint="eastAsia"/>
          <w:color w:val="000000"/>
          <w:szCs w:val="21"/>
        </w:rPr>
        <w:t>xxxx</w:t>
      </w:r>
      <w:proofErr w:type="spellEnd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53" w:type="pct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270"/>
        <w:gridCol w:w="1560"/>
        <w:gridCol w:w="753"/>
        <w:gridCol w:w="944"/>
      </w:tblGrid>
      <w:tr w:rsidR="00CF0298" w:rsidTr="00197C1C">
        <w:trPr>
          <w:trHeight w:val="76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浙江省农村发展集团有限公司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农发</w:t>
            </w:r>
            <w:r w:rsidRPr="00B5119B">
              <w:rPr>
                <w:rFonts w:hint="eastAsia"/>
              </w:rPr>
              <w:t>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341.00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绍兴市越城区古城更新投资有限公司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浙绍兴古城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4,208.00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proofErr w:type="gramStart"/>
            <w:r w:rsidRPr="00B5119B">
              <w:rPr>
                <w:rFonts w:hint="eastAsia"/>
              </w:rPr>
              <w:t>杭州中冶名</w:t>
            </w:r>
            <w:proofErr w:type="gramEnd"/>
            <w:r w:rsidRPr="00B5119B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浙杭中冶</w:t>
            </w:r>
            <w:proofErr w:type="gramEnd"/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169.00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浙江金汇五金产业有限公司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浙金</w:t>
            </w:r>
            <w:proofErr w:type="gramEnd"/>
            <w:r w:rsidRPr="00B5119B">
              <w:rPr>
                <w:rFonts w:hint="eastAsia"/>
              </w:rPr>
              <w:t>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592.00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新昌县城东城镇建设有限公司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浙新昌城镇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1,375.00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浙柯桥经开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166.00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横店集团控股有限公司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横店</w:t>
            </w:r>
            <w:r w:rsidRPr="00B5119B">
              <w:rPr>
                <w:rFonts w:hint="eastAsia"/>
              </w:rPr>
              <w:t>MTN001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浙温经</w:t>
            </w:r>
            <w:proofErr w:type="gramEnd"/>
            <w:r w:rsidRPr="00B5119B">
              <w:rPr>
                <w:rFonts w:hint="eastAsia"/>
              </w:rPr>
              <w:t>开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166.00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中银国际证券股份有限公司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天津银行二级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二级资本债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2,775.00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新昌县梅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</w:t>
            </w:r>
            <w:r w:rsidRPr="00B5119B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578.00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proofErr w:type="gramStart"/>
            <w:r w:rsidRPr="00B5119B">
              <w:rPr>
                <w:rFonts w:hint="eastAsia"/>
              </w:rPr>
              <w:t>杭州中冶名</w:t>
            </w:r>
            <w:proofErr w:type="gramEnd"/>
            <w:r w:rsidRPr="00B5119B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浙杭中冶</w:t>
            </w:r>
            <w:proofErr w:type="gramEnd"/>
            <w:r w:rsidRPr="00B5119B">
              <w:rPr>
                <w:rFonts w:hint="eastAsia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lastRenderedPageBreak/>
              <w:t>花园集团有限公司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花园</w:t>
            </w:r>
            <w:r w:rsidRPr="00B5119B">
              <w:rPr>
                <w:rFonts w:hint="eastAsia"/>
              </w:rPr>
              <w:t>MTN001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62.00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浙江迪安诊断技术股份有限公司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proofErr w:type="gramStart"/>
            <w:r w:rsidRPr="00B5119B">
              <w:rPr>
                <w:rFonts w:hint="eastAsia"/>
              </w:rPr>
              <w:t>迪</w:t>
            </w:r>
            <w:proofErr w:type="gramEnd"/>
            <w:r w:rsidRPr="00B5119B">
              <w:rPr>
                <w:rFonts w:hint="eastAsia"/>
              </w:rPr>
              <w:t>安诊断</w:t>
            </w:r>
            <w:r w:rsidRPr="00B5119B">
              <w:rPr>
                <w:rFonts w:hint="eastAsia"/>
              </w:rPr>
              <w:t>MTN001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37.00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嘉兴</w:t>
            </w:r>
            <w:proofErr w:type="gramStart"/>
            <w:r w:rsidRPr="00B5119B">
              <w:rPr>
                <w:rFonts w:hint="eastAsia"/>
              </w:rPr>
              <w:t>市透湖发展</w:t>
            </w:r>
            <w:proofErr w:type="gramEnd"/>
            <w:r w:rsidRPr="00B5119B">
              <w:rPr>
                <w:rFonts w:hint="eastAsia"/>
              </w:rPr>
              <w:t>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proofErr w:type="gramStart"/>
            <w:r w:rsidRPr="00B5119B">
              <w:rPr>
                <w:rFonts w:hint="eastAsia"/>
              </w:rPr>
              <w:t>秀湖债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1,764.00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华宝浮动净值货币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华宝浮动净值货币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海宁市盐官景区综合开发有限公司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浙海宁盐官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186.00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海宁市盐官景区综合开发有限公司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浙海宁盐官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186.00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proofErr w:type="gramStart"/>
            <w:r w:rsidRPr="00B5119B">
              <w:rPr>
                <w:rFonts w:hint="eastAsia"/>
              </w:rPr>
              <w:t>湖州临杭城镇</w:t>
            </w:r>
            <w:proofErr w:type="gramEnd"/>
            <w:r w:rsidRPr="00B5119B">
              <w:rPr>
                <w:rFonts w:hint="eastAsia"/>
              </w:rPr>
              <w:t>化建设有限公司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</w:t>
            </w:r>
            <w:proofErr w:type="gramStart"/>
            <w:r w:rsidRPr="00B5119B">
              <w:rPr>
                <w:rFonts w:hint="eastAsia"/>
              </w:rPr>
              <w:t>湖州临杭</w:t>
            </w:r>
            <w:proofErr w:type="gramEnd"/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1,769.00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温州市交通投资集团有限公司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温交投</w:t>
            </w:r>
            <w:r w:rsidRPr="00B5119B">
              <w:rPr>
                <w:rFonts w:hint="eastAsia"/>
              </w:rPr>
              <w:t>SCP002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杭州滨江房产集团有限公司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proofErr w:type="gramStart"/>
            <w:r w:rsidRPr="00B5119B">
              <w:rPr>
                <w:rFonts w:hint="eastAsia"/>
              </w:rPr>
              <w:t>滨房</w:t>
            </w:r>
            <w:proofErr w:type="gramEnd"/>
            <w:r w:rsidRPr="00B5119B">
              <w:rPr>
                <w:rFonts w:hint="eastAsia"/>
              </w:rPr>
              <w:t>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866.00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新昌县梅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</w:t>
            </w:r>
            <w:r w:rsidRPr="00B5119B">
              <w:rPr>
                <w:rFonts w:hint="eastAsia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578.00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丽水</w:t>
            </w:r>
            <w:proofErr w:type="gramStart"/>
            <w:r w:rsidRPr="00B5119B">
              <w:rPr>
                <w:rFonts w:hint="eastAsia"/>
              </w:rPr>
              <w:t>市莲都区</w:t>
            </w:r>
            <w:proofErr w:type="gramEnd"/>
            <w:r w:rsidRPr="00B5119B">
              <w:rPr>
                <w:rFonts w:hint="eastAsia"/>
              </w:rPr>
              <w:t>水利开发建设有限公司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16</w:t>
            </w:r>
            <w:proofErr w:type="gramStart"/>
            <w:r w:rsidRPr="00B5119B">
              <w:rPr>
                <w:rFonts w:hint="eastAsia"/>
              </w:rPr>
              <w:t>浙莲都</w:t>
            </w:r>
            <w:proofErr w:type="gramEnd"/>
            <w:r w:rsidRPr="00B5119B">
              <w:rPr>
                <w:rFonts w:hint="eastAsia"/>
              </w:rPr>
              <w:t>水发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895.00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中国农业银行股份有限公司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农业银行二级</w:t>
            </w:r>
            <w:r w:rsidRPr="00B5119B">
              <w:rPr>
                <w:rFonts w:hint="eastAsia"/>
              </w:rPr>
              <w:t>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二级资本债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2,871.00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永嘉县三江新城开发投资有限公司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浙温三江</w:t>
            </w:r>
            <w:proofErr w:type="gramEnd"/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中国农业银行股份有限公司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农业银行二级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二级资本债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2,678.00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杭州滨江房产集团股份有限公司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滨江房产</w:t>
            </w:r>
            <w:r w:rsidRPr="00B5119B">
              <w:rPr>
                <w:rFonts w:hint="eastAsia"/>
              </w:rPr>
              <w:t>MTN001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proofErr w:type="gramStart"/>
            <w:r w:rsidRPr="00B5119B">
              <w:rPr>
                <w:rFonts w:hint="eastAsia"/>
              </w:rPr>
              <w:t>杭州中冶名</w:t>
            </w:r>
            <w:proofErr w:type="gramEnd"/>
            <w:r w:rsidRPr="00B5119B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proofErr w:type="gramStart"/>
            <w:r w:rsidRPr="00B5119B">
              <w:rPr>
                <w:rFonts w:hint="eastAsia"/>
              </w:rPr>
              <w:t>浙杭中冶</w:t>
            </w:r>
            <w:proofErr w:type="gramEnd"/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169.00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lastRenderedPageBreak/>
              <w:t>舟山市定海城区建设开发有限公司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浙舟定海城开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proofErr w:type="gramStart"/>
            <w:r w:rsidRPr="00B5119B">
              <w:rPr>
                <w:rFonts w:hint="eastAsia"/>
              </w:rPr>
              <w:t>杭州中冶名</w:t>
            </w:r>
            <w:proofErr w:type="gramEnd"/>
            <w:r w:rsidRPr="00B5119B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proofErr w:type="gramStart"/>
            <w:r w:rsidRPr="00B5119B">
              <w:rPr>
                <w:rFonts w:hint="eastAsia"/>
              </w:rPr>
              <w:t>浙杭中冶</w:t>
            </w:r>
            <w:proofErr w:type="gramEnd"/>
            <w:r w:rsidRPr="00B5119B">
              <w:rPr>
                <w:rFonts w:hint="eastAsia"/>
              </w:rPr>
              <w:t>AB004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舟山市普陀建设投资有限公司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</w:t>
            </w:r>
            <w:proofErr w:type="gramStart"/>
            <w:r w:rsidRPr="00B5119B">
              <w:rPr>
                <w:rFonts w:hint="eastAsia"/>
              </w:rPr>
              <w:t>普陀建投</w:t>
            </w:r>
            <w:proofErr w:type="gramEnd"/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684.00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-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磐安县交通实业有限公司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浙磐安交通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bookmarkStart w:id="0" w:name="_GoBack"/>
            <w:bookmarkEnd w:id="0"/>
            <w:r w:rsidRPr="00B5119B">
              <w:rPr>
                <w:rFonts w:hint="eastAsia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浙温州城投</w:t>
            </w:r>
            <w:r w:rsidRPr="00B5119B">
              <w:rPr>
                <w:rFonts w:hint="eastAsia"/>
              </w:rPr>
              <w:t>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722.00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建交</w:t>
            </w:r>
            <w:r w:rsidRPr="00B5119B">
              <w:rPr>
                <w:rFonts w:hint="eastAsia"/>
              </w:rPr>
              <w:t>01</w:t>
            </w:r>
            <w:r w:rsidRPr="00B5119B">
              <w:rPr>
                <w:rFonts w:hint="eastAsia"/>
              </w:rPr>
              <w:t>次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建交</w:t>
            </w:r>
            <w:r w:rsidRPr="00B5119B">
              <w:rPr>
                <w:rFonts w:hint="eastAsia"/>
              </w:rPr>
              <w:t>01</w:t>
            </w:r>
            <w:r w:rsidRPr="00B5119B">
              <w:rPr>
                <w:rFonts w:hint="eastAsia"/>
              </w:rPr>
              <w:t>次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747.00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-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嘉善县国有资产投资有限公司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20</w:t>
            </w:r>
            <w:r w:rsidRPr="00B5119B">
              <w:rPr>
                <w:rFonts w:hint="eastAsia"/>
              </w:rPr>
              <w:t>嘉善国资</w:t>
            </w:r>
            <w:r w:rsidRPr="00B5119B">
              <w:rPr>
                <w:rFonts w:hint="eastAsia"/>
              </w:rPr>
              <w:t>CP001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151.00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浙上虞经开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197.00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杭州滨江房产集团股份有限公司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18</w:t>
            </w:r>
            <w:r w:rsidRPr="00B5119B">
              <w:rPr>
                <w:rFonts w:hint="eastAsia"/>
              </w:rPr>
              <w:t>滨江房产</w:t>
            </w:r>
            <w:r w:rsidRPr="00B5119B">
              <w:rPr>
                <w:rFonts w:hint="eastAsia"/>
              </w:rPr>
              <w:t>MTN001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271.00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舟山市定海城区建设开发有限公司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浙舟定海城开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浦江县金狮湖建设发展有限公司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浙浦江金建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19</w:t>
            </w:r>
            <w:r w:rsidRPr="00B5119B">
              <w:rPr>
                <w:rFonts w:hint="eastAsia"/>
              </w:rPr>
              <w:t>浙武义城建</w:t>
            </w:r>
            <w:r w:rsidRPr="00B5119B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196.00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新昌县梅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浙梅</w:t>
            </w:r>
            <w:proofErr w:type="gramStart"/>
            <w:r w:rsidRPr="00B5119B">
              <w:rPr>
                <w:rFonts w:hint="eastAsia"/>
              </w:rPr>
              <w:t>渚</w:t>
            </w:r>
            <w:proofErr w:type="gramEnd"/>
            <w:r w:rsidRPr="00B5119B">
              <w:rPr>
                <w:rFonts w:hint="eastAsia"/>
              </w:rPr>
              <w:t>新城</w:t>
            </w:r>
            <w:r w:rsidRPr="00B5119B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578.00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舟山市普陀建设投资有限公司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17</w:t>
            </w:r>
            <w:r w:rsidRPr="00B5119B">
              <w:rPr>
                <w:rFonts w:hint="eastAsia"/>
              </w:rPr>
              <w:t>浙</w:t>
            </w:r>
            <w:proofErr w:type="gramStart"/>
            <w:r w:rsidRPr="00B5119B">
              <w:rPr>
                <w:rFonts w:hint="eastAsia"/>
              </w:rPr>
              <w:t>普陀建投</w:t>
            </w:r>
            <w:proofErr w:type="gramEnd"/>
            <w:r w:rsidRPr="00B5119B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</w:t>
            </w:r>
            <w:r w:rsidRPr="00B5119B">
              <w:rPr>
                <w:rFonts w:hint="eastAsia"/>
              </w:rPr>
              <w:lastRenderedPageBreak/>
              <w:t xml:space="preserve">684.00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lastRenderedPageBreak/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lastRenderedPageBreak/>
              <w:t>浙江省能源集团有限公司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20</w:t>
            </w:r>
            <w:r w:rsidRPr="00B5119B">
              <w:rPr>
                <w:rFonts w:hint="eastAsia"/>
              </w:rPr>
              <w:t>浙能源</w:t>
            </w:r>
            <w:r w:rsidRPr="00B5119B">
              <w:rPr>
                <w:rFonts w:hint="eastAsia"/>
              </w:rPr>
              <w:t>SCP006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128.00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建信基金现金添利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-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华宝现金添益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浙江</w:t>
            </w:r>
            <w:r w:rsidRPr="00B5119B">
              <w:rPr>
                <w:rFonts w:hint="eastAsia"/>
              </w:rPr>
              <w:t>-</w:t>
            </w:r>
            <w:r w:rsidRPr="00B5119B">
              <w:rPr>
                <w:rFonts w:hint="eastAsia"/>
              </w:rPr>
              <w:t>华宝现金添益</w:t>
            </w:r>
            <w:r w:rsidRPr="00B5119B">
              <w:rPr>
                <w:rFonts w:hint="eastAsia"/>
              </w:rPr>
              <w:t>B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B5119B" w:rsidRDefault="00197C1C" w:rsidP="002C6C80">
            <w:r w:rsidRPr="00B5119B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 xml:space="preserve"> -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B5119B" w:rsidRDefault="00197C1C" w:rsidP="002C6C80">
            <w:r w:rsidRPr="00B5119B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德清联创科技新城建设有限公司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r w:rsidRPr="008749B3">
              <w:rPr>
                <w:rFonts w:hint="eastAsia"/>
              </w:rPr>
              <w:t>浙德清联创</w:t>
            </w:r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1,669.00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湖州新城公用工程有限公司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proofErr w:type="gramStart"/>
            <w:r w:rsidRPr="008749B3">
              <w:rPr>
                <w:rFonts w:hint="eastAsia"/>
              </w:rPr>
              <w:t>浙湖新城</w:t>
            </w:r>
            <w:proofErr w:type="gramEnd"/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307.00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杭州未来科技城建设有限公司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proofErr w:type="gramStart"/>
            <w:r w:rsidRPr="008749B3">
              <w:rPr>
                <w:rFonts w:hint="eastAsia"/>
              </w:rPr>
              <w:t>浙杭未来</w:t>
            </w:r>
            <w:proofErr w:type="gramEnd"/>
            <w:r w:rsidRPr="008749B3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580.00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东阳长城影视传媒有限公司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r w:rsidRPr="008749B3">
              <w:rPr>
                <w:rFonts w:hint="eastAsia"/>
              </w:rPr>
              <w:t>浙东阳长城</w:t>
            </w:r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29,051.00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资产及利息均已逾期超过</w:t>
            </w:r>
            <w:r w:rsidRPr="008749B3">
              <w:rPr>
                <w:rFonts w:hint="eastAsia"/>
              </w:rPr>
              <w:t>90</w:t>
            </w:r>
            <w:r w:rsidRPr="008749B3">
              <w:rPr>
                <w:rFonts w:hint="eastAsia"/>
              </w:rPr>
              <w:t>天，不影响产品正常兑付。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proofErr w:type="gramStart"/>
            <w:r w:rsidRPr="008749B3">
              <w:rPr>
                <w:rFonts w:hint="eastAsia"/>
              </w:rPr>
              <w:t>杭州中冶名</w:t>
            </w:r>
            <w:proofErr w:type="gramEnd"/>
            <w:r w:rsidRPr="008749B3">
              <w:rPr>
                <w:rFonts w:hint="eastAsia"/>
              </w:rPr>
              <w:t>泽房地产开发有限公司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19</w:t>
            </w:r>
            <w:proofErr w:type="gramStart"/>
            <w:r w:rsidRPr="008749B3">
              <w:rPr>
                <w:rFonts w:hint="eastAsia"/>
              </w:rPr>
              <w:t>浙杭中冶</w:t>
            </w:r>
            <w:proofErr w:type="gramEnd"/>
            <w:r w:rsidRPr="008749B3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169.00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桐庐县交通发展集团有限公司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r w:rsidRPr="008749B3">
              <w:rPr>
                <w:rFonts w:hint="eastAsia"/>
              </w:rPr>
              <w:t>浙桐庐交投</w:t>
            </w:r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614.00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桐乡市水</w:t>
            </w:r>
            <w:proofErr w:type="gramStart"/>
            <w:r w:rsidRPr="008749B3">
              <w:rPr>
                <w:rFonts w:hint="eastAsia"/>
              </w:rPr>
              <w:t>务</w:t>
            </w:r>
            <w:proofErr w:type="gramEnd"/>
            <w:r w:rsidRPr="008749B3">
              <w:rPr>
                <w:rFonts w:hint="eastAsia"/>
              </w:rPr>
              <w:t>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18</w:t>
            </w:r>
            <w:r w:rsidRPr="008749B3">
              <w:rPr>
                <w:rFonts w:hint="eastAsia"/>
              </w:rPr>
              <w:t>浙桐乡水</w:t>
            </w:r>
            <w:proofErr w:type="gramStart"/>
            <w:r w:rsidRPr="008749B3">
              <w:rPr>
                <w:rFonts w:hint="eastAsia"/>
              </w:rPr>
              <w:t>务</w:t>
            </w:r>
            <w:proofErr w:type="gramEnd"/>
            <w:r w:rsidRPr="008749B3">
              <w:rPr>
                <w:rFonts w:hint="eastAsia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1,747.00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金华市东新城市建设有限公司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16</w:t>
            </w:r>
            <w:r w:rsidRPr="008749B3">
              <w:rPr>
                <w:rFonts w:hint="eastAsia"/>
              </w:rPr>
              <w:t>浙金东新</w:t>
            </w:r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545.00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丽水</w:t>
            </w:r>
            <w:proofErr w:type="gramStart"/>
            <w:r w:rsidRPr="008749B3">
              <w:rPr>
                <w:rFonts w:hint="eastAsia"/>
              </w:rPr>
              <w:t>市莲都区</w:t>
            </w:r>
            <w:proofErr w:type="gramEnd"/>
            <w:r w:rsidRPr="008749B3">
              <w:rPr>
                <w:rFonts w:hint="eastAsia"/>
              </w:rPr>
              <w:t>水利开发建设有限公司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16</w:t>
            </w:r>
            <w:proofErr w:type="gramStart"/>
            <w:r w:rsidRPr="008749B3">
              <w:rPr>
                <w:rFonts w:hint="eastAsia"/>
              </w:rPr>
              <w:t>浙莲都</w:t>
            </w:r>
            <w:proofErr w:type="gramEnd"/>
            <w:r w:rsidRPr="008749B3">
              <w:rPr>
                <w:rFonts w:hint="eastAsia"/>
              </w:rPr>
              <w:t>水发</w:t>
            </w:r>
            <w:r w:rsidRPr="008749B3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895.00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17</w:t>
            </w:r>
            <w:r w:rsidRPr="008749B3">
              <w:rPr>
                <w:rFonts w:hint="eastAsia"/>
              </w:rPr>
              <w:t>浙温州城投</w:t>
            </w:r>
            <w:r w:rsidRPr="008749B3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643.00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桐乡市崇福两新建设开发有限</w:t>
            </w:r>
            <w:r w:rsidRPr="008749B3">
              <w:rPr>
                <w:rFonts w:hint="eastAsia"/>
              </w:rPr>
              <w:lastRenderedPageBreak/>
              <w:t>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lastRenderedPageBreak/>
              <w:t>18</w:t>
            </w:r>
            <w:r w:rsidRPr="008749B3">
              <w:rPr>
                <w:rFonts w:hint="eastAsia"/>
              </w:rPr>
              <w:t>浙桐乡两新</w:t>
            </w:r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</w:t>
            </w:r>
            <w:r w:rsidRPr="008749B3">
              <w:rPr>
                <w:rFonts w:hint="eastAsia"/>
              </w:rPr>
              <w:lastRenderedPageBreak/>
              <w:t xml:space="preserve">988.00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lastRenderedPageBreak/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lastRenderedPageBreak/>
              <w:t>嘉兴湘</w:t>
            </w:r>
            <w:proofErr w:type="gramStart"/>
            <w:r w:rsidRPr="008749B3">
              <w:rPr>
                <w:rFonts w:hint="eastAsia"/>
              </w:rPr>
              <w:t>家荡投资</w:t>
            </w:r>
            <w:proofErr w:type="gramEnd"/>
            <w:r w:rsidRPr="008749B3">
              <w:rPr>
                <w:rFonts w:hint="eastAsia"/>
              </w:rPr>
              <w:t>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18</w:t>
            </w:r>
            <w:proofErr w:type="gramStart"/>
            <w:r w:rsidRPr="008749B3">
              <w:rPr>
                <w:rFonts w:hint="eastAsia"/>
              </w:rPr>
              <w:t>浙湘家荡投资</w:t>
            </w:r>
            <w:proofErr w:type="gramEnd"/>
            <w:r w:rsidRPr="008749B3">
              <w:rPr>
                <w:rFonts w:hint="eastAsia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186.00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浙江龙盛集团股份有限公司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20</w:t>
            </w:r>
            <w:r w:rsidRPr="008749B3">
              <w:rPr>
                <w:rFonts w:hint="eastAsia"/>
              </w:rPr>
              <w:t>龙盛</w:t>
            </w:r>
            <w:r w:rsidRPr="008749B3">
              <w:rPr>
                <w:rFonts w:hint="eastAsia"/>
              </w:rPr>
              <w:t>SCP001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187.00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杭州市钱江新城投资集团有限公司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18</w:t>
            </w:r>
            <w:r w:rsidRPr="008749B3">
              <w:rPr>
                <w:rFonts w:hint="eastAsia"/>
              </w:rPr>
              <w:t>钱投停车债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债券（持有到期）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1,736.00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19</w:t>
            </w:r>
            <w:r w:rsidRPr="008749B3">
              <w:rPr>
                <w:rFonts w:hint="eastAsia"/>
              </w:rPr>
              <w:t>浙柯桥经开</w:t>
            </w:r>
            <w:r w:rsidRPr="008749B3">
              <w:rPr>
                <w:rFonts w:hint="eastAsia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166.00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  <w:tr w:rsidR="00197C1C" w:rsidTr="00197C1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浙江</w:t>
            </w:r>
            <w:r w:rsidRPr="008749B3">
              <w:rPr>
                <w:rFonts w:hint="eastAsia"/>
              </w:rPr>
              <w:t>-</w:t>
            </w:r>
            <w:r w:rsidRPr="008749B3">
              <w:rPr>
                <w:rFonts w:hint="eastAsia"/>
              </w:rPr>
              <w:t>建信基金现金增利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>浙江</w:t>
            </w:r>
            <w:r w:rsidRPr="008749B3">
              <w:rPr>
                <w:rFonts w:hint="eastAsia"/>
              </w:rPr>
              <w:t>-</w:t>
            </w:r>
            <w:r w:rsidRPr="008749B3">
              <w:rPr>
                <w:rFonts w:hint="eastAsia"/>
              </w:rPr>
              <w:t>建信基金现金增利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C1C" w:rsidRPr="008749B3" w:rsidRDefault="00197C1C" w:rsidP="00530E96">
            <w:r w:rsidRPr="008749B3">
              <w:rPr>
                <w:rFonts w:hint="eastAsia"/>
              </w:rPr>
              <w:t>货币基金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97C1C" w:rsidRPr="008749B3" w:rsidRDefault="00197C1C" w:rsidP="00530E96">
            <w:r w:rsidRPr="008749B3">
              <w:rPr>
                <w:rFonts w:hint="eastAsia"/>
              </w:rPr>
              <w:t xml:space="preserve"> 29,051.00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7C1C" w:rsidRDefault="00197C1C" w:rsidP="00530E96">
            <w:r w:rsidRPr="008749B3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E0" w:rsidRDefault="003815E0" w:rsidP="00747E15">
      <w:r>
        <w:separator/>
      </w:r>
    </w:p>
  </w:endnote>
  <w:endnote w:type="continuationSeparator" w:id="0">
    <w:p w:rsidR="003815E0" w:rsidRDefault="003815E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E0" w:rsidRDefault="003815E0" w:rsidP="00747E15">
      <w:r>
        <w:separator/>
      </w:r>
    </w:p>
  </w:footnote>
  <w:footnote w:type="continuationSeparator" w:id="0">
    <w:p w:rsidR="003815E0" w:rsidRDefault="003815E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58C0"/>
    <w:rsid w:val="000A7A07"/>
    <w:rsid w:val="000B2257"/>
    <w:rsid w:val="000B6D04"/>
    <w:rsid w:val="000C33A9"/>
    <w:rsid w:val="000F4ED6"/>
    <w:rsid w:val="000F5E7E"/>
    <w:rsid w:val="00106270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711B"/>
    <w:rsid w:val="0039500D"/>
    <w:rsid w:val="003A24B2"/>
    <w:rsid w:val="003B5CC6"/>
    <w:rsid w:val="003D3F6C"/>
    <w:rsid w:val="003E0232"/>
    <w:rsid w:val="003E4D8B"/>
    <w:rsid w:val="00404027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6CB2"/>
    <w:rsid w:val="005204A8"/>
    <w:rsid w:val="00532CB2"/>
    <w:rsid w:val="00553503"/>
    <w:rsid w:val="00556FF5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5D61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323D"/>
    <w:rsid w:val="007812E4"/>
    <w:rsid w:val="00783ADA"/>
    <w:rsid w:val="00784FEC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620D3"/>
    <w:rsid w:val="00A66F45"/>
    <w:rsid w:val="00A735E4"/>
    <w:rsid w:val="00A8215E"/>
    <w:rsid w:val="00AB53D1"/>
    <w:rsid w:val="00AB74F5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A5D3B"/>
    <w:rsid w:val="00DB4B6B"/>
    <w:rsid w:val="00DC041F"/>
    <w:rsid w:val="00DC0BC9"/>
    <w:rsid w:val="00DD26B0"/>
    <w:rsid w:val="00DE7BE6"/>
    <w:rsid w:val="00DF32AC"/>
    <w:rsid w:val="00E03A0F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F00768"/>
    <w:rsid w:val="00F1689B"/>
    <w:rsid w:val="00F16A9F"/>
    <w:rsid w:val="00F20317"/>
    <w:rsid w:val="00F20EA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29</cp:revision>
  <cp:lastPrinted>2019-01-03T08:39:00Z</cp:lastPrinted>
  <dcterms:created xsi:type="dcterms:W3CDTF">2020-04-16T06:39:00Z</dcterms:created>
  <dcterms:modified xsi:type="dcterms:W3CDTF">2020-06-22T06:17:00Z</dcterms:modified>
</cp:coreProperties>
</file>