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9E6AC">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建信理财机构专享嘉鑫固收类封闭式产品2024年第190期</w:t>
      </w:r>
    </w:p>
    <w:p w14:paraId="68F83D08">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风险揭示书</w:t>
      </w:r>
    </w:p>
    <w:p w14:paraId="64A15AF9">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理财非存款、产品有风险、投资须谨慎。</w:t>
      </w:r>
    </w:p>
    <w:p w14:paraId="273A6EB2">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理财产品过往业绩不代表其未来表现，不等于理财产品实际收益，投资须谨慎。</w:t>
      </w:r>
    </w:p>
    <w:p w14:paraId="7CF8858F">
      <w:pPr>
        <w:pStyle w:val="5"/>
        <w:tabs>
          <w:tab w:val="left" w:pos="720"/>
        </w:tabs>
        <w:spacing w:after="93" w:afterLines="30"/>
        <w:ind w:left="0" w:leftChars="0"/>
        <w:jc w:val="center"/>
        <w:rPr>
          <w:rFonts w:ascii="宋体" w:hAnsi="宋体"/>
          <w:b/>
          <w:szCs w:val="20"/>
        </w:rPr>
      </w:pPr>
      <w:r>
        <w:rPr>
          <w:rFonts w:hint="eastAsia" w:ascii="宋体" w:hAnsi="宋体"/>
          <w:b/>
          <w:szCs w:val="20"/>
        </w:rPr>
        <w:t>本产品由建信理财有限责任公司发行与管理，代销机构中国建设银行不承担产品的投资、兑付和风险管理责任。</w:t>
      </w:r>
    </w:p>
    <w:p w14:paraId="589D174F">
      <w:pPr>
        <w:pStyle w:val="5"/>
        <w:tabs>
          <w:tab w:val="left" w:pos="720"/>
        </w:tabs>
        <w:spacing w:after="93" w:afterLines="30"/>
        <w:ind w:left="0" w:leftChars="0"/>
        <w:rPr>
          <w:rFonts w:ascii="宋体" w:hAnsi="宋体"/>
          <w:b/>
          <w:szCs w:val="20"/>
        </w:rPr>
      </w:pPr>
    </w:p>
    <w:p w14:paraId="17593E4F">
      <w:pPr>
        <w:pStyle w:val="5"/>
        <w:tabs>
          <w:tab w:val="left" w:pos="720"/>
        </w:tabs>
        <w:spacing w:after="93" w:afterLines="30"/>
        <w:ind w:left="0" w:leftChars="0"/>
        <w:rPr>
          <w:rFonts w:ascii="宋体" w:hAnsi="宋体"/>
          <w:b/>
          <w:szCs w:val="20"/>
        </w:rPr>
      </w:pPr>
      <w:r>
        <w:rPr>
          <w:rFonts w:hint="eastAsia" w:ascii="宋体" w:hAnsi="宋体"/>
          <w:b/>
          <w:szCs w:val="20"/>
        </w:rPr>
        <w:t>尊敬的投资者：</w:t>
      </w:r>
    </w:p>
    <w:p w14:paraId="77A4E551">
      <w:pPr>
        <w:pStyle w:val="31"/>
        <w:spacing w:after="93" w:afterLines="30"/>
        <w:ind w:firstLine="400" w:firstLineChars="200"/>
        <w:jc w:val="both"/>
        <w:rPr>
          <w:rFonts w:ascii="宋体" w:hAnsi="宋体" w:eastAsia="宋体" w:cs="Times New Roman"/>
          <w:color w:val="auto"/>
          <w:sz w:val="20"/>
          <w:szCs w:val="20"/>
        </w:rPr>
      </w:pPr>
      <w:r>
        <w:rPr>
          <w:rFonts w:hint="eastAsia" w:ascii="宋体" w:hAnsi="宋体" w:eastAsia="宋体" w:cs="Times New Roman"/>
          <w:color w:val="auto"/>
          <w:sz w:val="20"/>
          <w:szCs w:val="20"/>
        </w:rPr>
        <w:t>理财产品管理运用过程，可能会面临多种风险因素。因此，根据相关监管规定的要求，建信理财有限责任公司（以下简称“产品管理人”）郑重提示：</w:t>
      </w:r>
    </w:p>
    <w:p w14:paraId="78B63FB0">
      <w:pPr>
        <w:pStyle w:val="31"/>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建信理财有限责任公司作为本产品管理人，为中国建设银行（本产品的代销机构）的全资子公司。产品管理人与代销机构的关联关系可能会对产品投资运作带来一定影响。投资者确认本风险揭示书，即视为已知悉并接受本产品由代销机构的关联方发行与管理。</w:t>
      </w:r>
    </w:p>
    <w:p w14:paraId="0246B8B9">
      <w:pPr>
        <w:pStyle w:val="31"/>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本产品的代销机构和托管人均与产品管理人存在关联关系，产品管理人向本产品的代销机构和托管人支付销售费和托管费，存在关联交易。</w:t>
      </w:r>
    </w:p>
    <w:p w14:paraId="19568088">
      <w:pPr>
        <w:pStyle w:val="31"/>
        <w:spacing w:after="93" w:afterLines="30"/>
        <w:ind w:firstLine="402" w:firstLineChars="200"/>
        <w:jc w:val="both"/>
        <w:rPr>
          <w:rFonts w:ascii="宋体" w:hAnsi="宋体" w:eastAsia="宋体" w:cs="CHHT"/>
          <w:b/>
          <w:color w:val="auto"/>
          <w:sz w:val="20"/>
          <w:szCs w:val="20"/>
        </w:rPr>
      </w:pPr>
      <w:r>
        <w:rPr>
          <w:rFonts w:hint="eastAsia" w:ascii="宋体" w:hAnsi="宋体" w:eastAsia="宋体"/>
          <w:b/>
          <w:color w:val="auto"/>
          <w:sz w:val="20"/>
          <w:szCs w:val="20"/>
        </w:rPr>
        <w:t>本产品为非保本浮动收益型理财产品，不</w:t>
      </w:r>
      <w:r>
        <w:rPr>
          <w:rFonts w:ascii="宋体" w:hAnsi="宋体" w:eastAsia="宋体"/>
          <w:b/>
          <w:color w:val="auto"/>
          <w:sz w:val="20"/>
          <w:szCs w:val="20"/>
        </w:rPr>
        <w:t>保证本金和收益</w:t>
      </w:r>
      <w:r>
        <w:rPr>
          <w:rFonts w:hint="eastAsia" w:ascii="宋体" w:hAnsi="宋体" w:eastAsia="宋体"/>
          <w:b/>
          <w:color w:val="auto"/>
          <w:sz w:val="20"/>
          <w:szCs w:val="20"/>
        </w:rPr>
        <w:t>。业绩比较基准</w:t>
      </w:r>
      <w:r>
        <w:rPr>
          <w:rFonts w:ascii="宋体" w:hAnsi="宋体" w:eastAsia="宋体"/>
          <w:b/>
          <w:color w:val="auto"/>
          <w:sz w:val="20"/>
          <w:szCs w:val="20"/>
        </w:rPr>
        <w:t>等表述均不</w:t>
      </w:r>
      <w:r>
        <w:rPr>
          <w:rFonts w:hint="eastAsia" w:ascii="宋体" w:hAnsi="宋体" w:eastAsia="宋体"/>
          <w:b/>
          <w:color w:val="auto"/>
          <w:sz w:val="20"/>
          <w:szCs w:val="20"/>
        </w:rPr>
        <w:t>等同</w:t>
      </w:r>
      <w:r>
        <w:rPr>
          <w:rFonts w:ascii="宋体" w:hAnsi="宋体" w:eastAsia="宋体"/>
          <w:b/>
          <w:color w:val="auto"/>
          <w:sz w:val="20"/>
          <w:szCs w:val="20"/>
        </w:rPr>
        <w:t>于实际</w:t>
      </w:r>
      <w:r>
        <w:rPr>
          <w:rFonts w:hint="eastAsia" w:ascii="宋体" w:hAnsi="宋体" w:eastAsia="宋体"/>
          <w:b/>
          <w:color w:val="auto"/>
          <w:sz w:val="20"/>
          <w:szCs w:val="20"/>
        </w:rPr>
        <w:t>收益。投资者应当充分认识投资风险，谨慎投资。</w:t>
      </w:r>
      <w:r>
        <w:rPr>
          <w:rFonts w:hint="eastAsia" w:ascii="宋体" w:hAnsi="宋体" w:eastAsia="宋体"/>
          <w:color w:val="auto"/>
          <w:sz w:val="20"/>
          <w:szCs w:val="20"/>
        </w:rPr>
        <w:t>投资者</w:t>
      </w:r>
      <w:r>
        <w:rPr>
          <w:rFonts w:hint="eastAsia" w:ascii="宋体" w:hAnsi="宋体" w:eastAsia="宋体" w:cs="CHHT"/>
          <w:color w:val="auto"/>
          <w:sz w:val="20"/>
          <w:szCs w:val="20"/>
        </w:rPr>
        <w:t>进行投资时，应严格遵守反逃税、反洗钱及反恐怖融资等相关法规、监管的规定，切实履行反逃税、反洗钱及反恐怖融资义务，配合开展非居民金融账户涉税信息尽职调查工作。</w:t>
      </w:r>
      <w:r>
        <w:rPr>
          <w:rFonts w:hint="eastAsia" w:ascii="宋体" w:hAnsi="宋体" w:eastAsia="宋体" w:cs="Times New Roman"/>
          <w:color w:val="auto"/>
          <w:sz w:val="20"/>
          <w:szCs w:val="20"/>
        </w:rPr>
        <w:t>投资者不得使用贷款、发行债券或资产管理产品等筹集的非自有资金投资本产品。</w:t>
      </w:r>
      <w:r>
        <w:rPr>
          <w:rFonts w:ascii="宋体" w:hAnsi="宋体" w:eastAsia="宋体" w:cs="CHHT"/>
          <w:b/>
          <w:color w:val="auto"/>
          <w:sz w:val="20"/>
          <w:szCs w:val="20"/>
        </w:rPr>
        <w:t>本产品任何</w:t>
      </w:r>
      <w:r>
        <w:rPr>
          <w:rFonts w:hint="eastAsia" w:ascii="宋体" w:hAnsi="宋体" w:eastAsia="宋体" w:cs="CHHT"/>
          <w:b/>
          <w:color w:val="auto"/>
          <w:sz w:val="20"/>
          <w:szCs w:val="20"/>
        </w:rPr>
        <w:t>业绩比较基准</w:t>
      </w:r>
      <w:r>
        <w:rPr>
          <w:rFonts w:ascii="宋体" w:hAnsi="宋体" w:eastAsia="宋体" w:cs="CHHT"/>
          <w:b/>
          <w:color w:val="auto"/>
          <w:sz w:val="20"/>
          <w:szCs w:val="20"/>
        </w:rPr>
        <w:t>、测算收益或类似表述均属不具有法律约束力的用语，</w:t>
      </w:r>
      <w:r>
        <w:rPr>
          <w:rFonts w:hint="eastAsia" w:ascii="宋体" w:hAnsi="宋体" w:eastAsia="宋体" w:cs="CHHT"/>
          <w:b/>
          <w:color w:val="auto"/>
          <w:sz w:val="20"/>
          <w:szCs w:val="20"/>
        </w:rPr>
        <w:t>业绩比较基准不是预期收益率，</w:t>
      </w:r>
      <w:r>
        <w:rPr>
          <w:rFonts w:ascii="宋体" w:hAnsi="宋体" w:eastAsia="宋体" w:cs="CHHT"/>
          <w:b/>
          <w:color w:val="auto"/>
          <w:sz w:val="20"/>
          <w:szCs w:val="20"/>
        </w:rPr>
        <w:t>不代表投资者可能获得的实际收益，亦不构成产品管理人对本产品的任何收益承诺。</w:t>
      </w:r>
    </w:p>
    <w:p w14:paraId="035EE925">
      <w:pPr>
        <w:pStyle w:val="31"/>
        <w:spacing w:after="93" w:afterLines="30"/>
        <w:ind w:firstLine="400" w:firstLineChars="200"/>
        <w:jc w:val="both"/>
        <w:rPr>
          <w:rFonts w:ascii="宋体" w:hAnsi="宋体" w:eastAsia="宋体" w:cs="Times New Roman"/>
          <w:b/>
          <w:color w:val="auto"/>
          <w:sz w:val="20"/>
          <w:szCs w:val="20"/>
        </w:rPr>
      </w:pPr>
      <w:r>
        <w:rPr>
          <w:rFonts w:hint="eastAsia" w:ascii="宋体" w:hAnsi="宋体" w:eastAsia="宋体" w:cs="Times New Roman"/>
          <w:color w:val="auto"/>
          <w:sz w:val="20"/>
          <w:szCs w:val="20"/>
        </w:rPr>
        <w:t>本产品为固定收益类理财产品，产品期限为184天</w:t>
      </w:r>
      <w:r>
        <w:rPr>
          <w:rFonts w:hint="eastAsia" w:ascii="宋体" w:hAnsi="宋体" w:eastAsia="宋体" w:cs="Times New Roman"/>
          <w:b/>
          <w:color w:val="auto"/>
          <w:sz w:val="20"/>
          <w:szCs w:val="20"/>
        </w:rPr>
        <w:t>（产品管理人有权延期或提前终止本产品）</w:t>
      </w:r>
      <w:r>
        <w:rPr>
          <w:rFonts w:hint="eastAsia" w:ascii="宋体" w:hAnsi="宋体" w:eastAsia="宋体" w:cs="Times New Roman"/>
          <w:color w:val="auto"/>
          <w:sz w:val="20"/>
          <w:szCs w:val="20"/>
        </w:rPr>
        <w:t>。</w:t>
      </w:r>
      <w:r>
        <w:rPr>
          <w:rFonts w:hint="eastAsia" w:ascii="宋体" w:hAnsi="宋体" w:eastAsia="宋体" w:cs="Times New Roman"/>
          <w:b/>
          <w:color w:val="auto"/>
          <w:sz w:val="20"/>
          <w:szCs w:val="20"/>
        </w:rPr>
        <w:t>本产品内部风险评级级别为R2较低风险</w:t>
      </w:r>
      <w:bookmarkStart w:id="0" w:name="test"/>
      <w:bookmarkEnd w:id="0"/>
      <w:r>
        <w:rPr>
          <w:rFonts w:hint="eastAsia" w:ascii="宋体" w:hAnsi="宋体" w:eastAsia="宋体" w:cs="Times New Roman"/>
          <w:b/>
          <w:color w:val="auto"/>
          <w:sz w:val="20"/>
          <w:szCs w:val="20"/>
        </w:rPr>
        <w:drawing>
          <wp:inline distT="0" distB="0" distL="0" distR="0">
            <wp:extent cx="127000" cy="127000"/>
            <wp:effectExtent l="0" t="0" r="6350" b="6350"/>
            <wp:docPr id="31" name="Drawing 3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rawing 31" descr="1.png"/>
                    <pic:cNvPicPr>
                      <a:picLocks noChangeAspect="1"/>
                    </pic:cNvPicPr>
                  </pic:nvPicPr>
                  <pic:blipFill>
                    <a:blip r:embed="rId7"/>
                    <a:stretch>
                      <a:fillRect/>
                    </a:stretch>
                  </pic:blipFill>
                  <pic:spPr>
                    <a:xfrm>
                      <a:off x="0" y="0"/>
                      <a:ext cx="127000" cy="127000"/>
                    </a:xfrm>
                    <a:prstGeom prst="rect">
                      <a:avLst/>
                    </a:prstGeom>
                  </pic:spPr>
                </pic:pic>
              </a:graphicData>
            </a:graphic>
          </wp:inline>
        </w:drawing>
      </w:r>
      <w:r>
        <w:rPr>
          <w:rFonts w:hint="eastAsia" w:ascii="宋体" w:hAnsi="宋体" w:eastAsia="宋体" w:cs="Times New Roman"/>
          <w:b/>
          <w:color w:val="auto"/>
          <w:sz w:val="20"/>
          <w:szCs w:val="20"/>
        </w:rPr>
        <w:drawing>
          <wp:inline distT="0" distB="0" distL="0" distR="0">
            <wp:extent cx="127000" cy="127000"/>
            <wp:effectExtent l="0" t="0" r="6350" b="6350"/>
            <wp:docPr id="32" name="Drawing 3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descr="2.png"/>
                    <pic:cNvPicPr>
                      <a:picLocks noChangeAspect="1"/>
                    </pic:cNvPicPr>
                  </pic:nvPicPr>
                  <pic:blipFill>
                    <a:blip r:embed="rId7"/>
                    <a:stretch>
                      <a:fillRect/>
                    </a:stretch>
                  </pic:blipFill>
                  <pic:spPr>
                    <a:xfrm>
                      <a:off x="0" y="0"/>
                      <a:ext cx="127000" cy="127000"/>
                    </a:xfrm>
                    <a:prstGeom prst="rect">
                      <a:avLst/>
                    </a:prstGeom>
                  </pic:spPr>
                </pic:pic>
              </a:graphicData>
            </a:graphic>
          </wp:inline>
        </w:drawing>
      </w:r>
      <w:r>
        <w:rPr>
          <w:rFonts w:hint="eastAsia" w:ascii="宋体" w:hAnsi="宋体" w:eastAsia="宋体" w:cs="Times New Roman"/>
          <w:b/>
          <w:color w:val="auto"/>
          <w:sz w:val="20"/>
          <w:szCs w:val="20"/>
        </w:rPr>
        <w:t>，适合于机构投资者。该产品通过代销机构渠道销售的，理财产品评级应当以代理销售机构最终披露的评级结果为准。</w:t>
      </w:r>
      <w:r>
        <w:rPr>
          <w:rFonts w:ascii="宋体" w:hAnsi="宋体" w:eastAsia="宋体" w:cs="Times New Roman"/>
          <w:b/>
          <w:color w:val="auto"/>
          <w:sz w:val="20"/>
          <w:szCs w:val="20"/>
        </w:rPr>
        <w:t xml:space="preserve"> </w:t>
      </w:r>
    </w:p>
    <w:p w14:paraId="08FB0784">
      <w:pPr>
        <w:pStyle w:val="31"/>
        <w:spacing w:after="93" w:afterLines="30"/>
        <w:ind w:firstLine="402" w:firstLineChars="200"/>
        <w:jc w:val="both"/>
        <w:rPr>
          <w:rFonts w:ascii="宋体" w:hAnsi="宋体" w:eastAsia="宋体" w:cs="Times New Roman"/>
          <w:b/>
          <w:color w:val="auto"/>
          <w:sz w:val="20"/>
          <w:szCs w:val="20"/>
        </w:rPr>
      </w:pPr>
      <w:r>
        <w:rPr>
          <w:rFonts w:hint="eastAsia" w:ascii="宋体" w:hAnsi="宋体" w:eastAsia="宋体" w:cs="Times New Roman"/>
          <w:b/>
          <w:color w:val="auto"/>
          <w:sz w:val="20"/>
          <w:szCs w:val="20"/>
        </w:rPr>
        <w:t>示例：若投资者购买本产品，购买本金为1000万元，最不利情况下，本产品基础资产无法回收任何本金和收益，投资者将损失全部本金1000万元。</w:t>
      </w:r>
    </w:p>
    <w:p w14:paraId="3BFAC75E">
      <w:pPr>
        <w:pStyle w:val="31"/>
        <w:spacing w:after="93" w:afterLines="30"/>
        <w:ind w:firstLine="402" w:firstLineChars="200"/>
        <w:jc w:val="both"/>
        <w:rPr>
          <w:rFonts w:ascii="宋体" w:hAnsi="宋体" w:eastAsia="宋体"/>
          <w:b/>
          <w:sz w:val="20"/>
          <w:szCs w:val="20"/>
        </w:rPr>
      </w:pPr>
      <w:r>
        <w:rPr>
          <w:rFonts w:hint="eastAsia" w:ascii="宋体" w:hAnsi="宋体" w:eastAsia="宋体"/>
          <w:b/>
          <w:sz w:val="20"/>
          <w:szCs w:val="20"/>
        </w:rPr>
        <w:t>如影响您风险承受能力的因素发生变化，请及时完成风险承受能力评估。</w:t>
      </w:r>
    </w:p>
    <w:p w14:paraId="235D7E63">
      <w:pPr>
        <w:pStyle w:val="5"/>
        <w:tabs>
          <w:tab w:val="left" w:pos="720"/>
        </w:tabs>
        <w:spacing w:after="93" w:afterLines="30"/>
        <w:ind w:left="0" w:leftChars="0" w:firstLine="402" w:firstLineChars="200"/>
        <w:rPr>
          <w:rFonts w:ascii="宋体" w:hAnsi="宋体"/>
          <w:b/>
          <w:szCs w:val="20"/>
        </w:rPr>
      </w:pPr>
      <w:r>
        <w:rPr>
          <w:rFonts w:hint="eastAsia" w:ascii="宋体" w:hAnsi="宋体" w:cs="黑体"/>
          <w:b/>
          <w:szCs w:val="20"/>
        </w:rPr>
        <w:t>产品管理人</w:t>
      </w:r>
      <w:r>
        <w:rPr>
          <w:rFonts w:hint="eastAsia" w:ascii="宋体" w:hAnsi="宋体"/>
          <w:b/>
          <w:szCs w:val="20"/>
        </w:rPr>
        <w:t>内部风险评级说明如下：</w:t>
      </w:r>
    </w:p>
    <w:tbl>
      <w:tblPr>
        <w:tblStyle w:val="12"/>
        <w:tblW w:w="8360" w:type="dxa"/>
        <w:jc w:val="center"/>
        <w:tblLayout w:type="fixed"/>
        <w:tblCellMar>
          <w:top w:w="0" w:type="dxa"/>
          <w:left w:w="0" w:type="dxa"/>
          <w:bottom w:w="0" w:type="dxa"/>
          <w:right w:w="0" w:type="dxa"/>
        </w:tblCellMar>
      </w:tblPr>
      <w:tblGrid>
        <w:gridCol w:w="1647"/>
        <w:gridCol w:w="1800"/>
        <w:gridCol w:w="3383"/>
        <w:gridCol w:w="1530"/>
      </w:tblGrid>
      <w:tr w14:paraId="3552ECC3">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328595">
            <w:pPr>
              <w:spacing w:after="93" w:afterLines="30"/>
              <w:jc w:val="center"/>
              <w:rPr>
                <w:rFonts w:ascii="宋体" w:hAnsi="宋体"/>
                <w:color w:val="000000"/>
                <w:sz w:val="20"/>
                <w:szCs w:val="20"/>
              </w:rPr>
            </w:pPr>
            <w:r>
              <w:rPr>
                <w:rFonts w:hint="eastAsia" w:ascii="宋体" w:hAnsi="宋体"/>
                <w:color w:val="000000"/>
                <w:sz w:val="20"/>
                <w:szCs w:val="20"/>
              </w:rPr>
              <w:t>风险标识</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64AB2A">
            <w:pPr>
              <w:spacing w:after="93" w:afterLines="30"/>
              <w:jc w:val="center"/>
              <w:rPr>
                <w:rFonts w:ascii="宋体" w:hAnsi="宋体"/>
                <w:color w:val="000000"/>
                <w:sz w:val="20"/>
                <w:szCs w:val="20"/>
              </w:rPr>
            </w:pPr>
            <w:r>
              <w:rPr>
                <w:rFonts w:hint="eastAsia" w:ascii="宋体" w:hAnsi="宋体"/>
                <w:color w:val="000000"/>
                <w:sz w:val="20"/>
                <w:szCs w:val="20"/>
              </w:rPr>
              <w:t>风险评级</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571D46">
            <w:pPr>
              <w:spacing w:after="93" w:afterLines="30"/>
              <w:jc w:val="center"/>
              <w:rPr>
                <w:rFonts w:ascii="宋体" w:hAnsi="宋体"/>
                <w:color w:val="000000"/>
                <w:sz w:val="20"/>
                <w:szCs w:val="20"/>
              </w:rPr>
            </w:pPr>
            <w:r>
              <w:rPr>
                <w:rFonts w:hint="eastAsia" w:ascii="宋体" w:hAnsi="宋体"/>
                <w:color w:val="000000"/>
                <w:sz w:val="20"/>
                <w:szCs w:val="20"/>
              </w:rPr>
              <w:t>评级说明</w:t>
            </w:r>
          </w:p>
        </w:tc>
        <w:tc>
          <w:tcPr>
            <w:tcW w:w="1530" w:type="dxa"/>
            <w:tcBorders>
              <w:top w:val="single" w:color="auto" w:sz="4" w:space="0"/>
              <w:left w:val="nil"/>
              <w:bottom w:val="single" w:color="auto" w:sz="4" w:space="0"/>
              <w:right w:val="single" w:color="auto" w:sz="4" w:space="0"/>
            </w:tcBorders>
            <w:vAlign w:val="center"/>
          </w:tcPr>
          <w:p w14:paraId="4939D718">
            <w:pPr>
              <w:spacing w:after="93" w:afterLines="30"/>
              <w:jc w:val="center"/>
              <w:rPr>
                <w:rFonts w:ascii="宋体" w:hAnsi="宋体"/>
                <w:color w:val="000000"/>
                <w:sz w:val="20"/>
                <w:szCs w:val="20"/>
              </w:rPr>
            </w:pPr>
            <w:r>
              <w:rPr>
                <w:rFonts w:hint="eastAsia" w:ascii="宋体" w:hAnsi="宋体"/>
                <w:color w:val="000000"/>
                <w:sz w:val="20"/>
                <w:szCs w:val="20"/>
              </w:rPr>
              <w:t>适用群体</w:t>
            </w:r>
          </w:p>
        </w:tc>
      </w:tr>
      <w:tr w14:paraId="790DC476">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92D4AF">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9050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3B9F1C6">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1</w:t>
            </w:r>
          </w:p>
          <w:p w14:paraId="6215149A">
            <w:pPr>
              <w:spacing w:after="93" w:afterLines="30"/>
              <w:jc w:val="center"/>
              <w:rPr>
                <w:rFonts w:ascii="宋体" w:hAnsi="宋体"/>
                <w:color w:val="000000"/>
                <w:sz w:val="20"/>
                <w:szCs w:val="20"/>
              </w:rPr>
            </w:pPr>
            <w:r>
              <w:rPr>
                <w:rFonts w:hint="eastAsia" w:ascii="宋体" w:hAnsi="宋体"/>
                <w:color w:val="000000"/>
                <w:sz w:val="20"/>
                <w:szCs w:val="20"/>
              </w:rPr>
              <w:t>风险极低</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4F38E7">
            <w:pPr>
              <w:spacing w:after="93" w:afterLines="30"/>
              <w:jc w:val="center"/>
              <w:rPr>
                <w:rFonts w:ascii="宋体" w:hAnsi="宋体"/>
                <w:color w:val="000000"/>
                <w:sz w:val="20"/>
                <w:szCs w:val="20"/>
              </w:rPr>
            </w:pPr>
            <w:r>
              <w:rPr>
                <w:rFonts w:hint="eastAsia" w:ascii="宋体" w:hAnsi="宋体"/>
                <w:color w:val="000000"/>
                <w:sz w:val="20"/>
                <w:szCs w:val="20"/>
              </w:rPr>
              <w:t>不提供本金保护，但投资者本金亏损的概率很低</w:t>
            </w:r>
          </w:p>
        </w:tc>
        <w:tc>
          <w:tcPr>
            <w:tcW w:w="1530" w:type="dxa"/>
            <w:tcBorders>
              <w:top w:val="single" w:color="auto" w:sz="4" w:space="0"/>
              <w:left w:val="nil"/>
              <w:bottom w:val="single" w:color="auto" w:sz="4" w:space="0"/>
              <w:right w:val="single" w:color="auto" w:sz="4" w:space="0"/>
            </w:tcBorders>
            <w:vAlign w:val="center"/>
          </w:tcPr>
          <w:p w14:paraId="0211F0FF">
            <w:pPr>
              <w:spacing w:after="93" w:afterLines="30"/>
              <w:jc w:val="center"/>
              <w:rPr>
                <w:rFonts w:ascii="宋体" w:hAnsi="宋体"/>
                <w:color w:val="000000"/>
                <w:sz w:val="20"/>
                <w:szCs w:val="20"/>
              </w:rPr>
            </w:pPr>
            <w:r>
              <w:rPr>
                <w:rFonts w:hint="eastAsia" w:ascii="宋体" w:hAnsi="宋体"/>
                <w:color w:val="000000"/>
                <w:sz w:val="20"/>
              </w:rPr>
              <w:t>机构投资者</w:t>
            </w:r>
          </w:p>
        </w:tc>
      </w:tr>
      <w:tr w14:paraId="13539998">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2A0685">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90500" cy="190500"/>
                  <wp:effectExtent l="0" t="0" r="0" b="0"/>
                  <wp:docPr id="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B02F6F4">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2</w:t>
            </w:r>
          </w:p>
          <w:p w14:paraId="3FE57A7D">
            <w:pPr>
              <w:spacing w:after="93" w:afterLines="30"/>
              <w:jc w:val="center"/>
              <w:rPr>
                <w:rFonts w:ascii="宋体" w:hAnsi="宋体"/>
                <w:color w:val="000000"/>
                <w:sz w:val="20"/>
                <w:szCs w:val="20"/>
              </w:rPr>
            </w:pPr>
            <w:r>
              <w:rPr>
                <w:rFonts w:hint="eastAsia" w:ascii="宋体" w:hAnsi="宋体"/>
                <w:color w:val="000000"/>
                <w:sz w:val="20"/>
                <w:szCs w:val="20"/>
              </w:rPr>
              <w:t>较低风险</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B82F59">
            <w:pPr>
              <w:spacing w:after="93" w:afterLines="30"/>
              <w:jc w:val="center"/>
              <w:rPr>
                <w:rFonts w:ascii="宋体" w:hAnsi="宋体"/>
                <w:color w:val="000000"/>
                <w:sz w:val="20"/>
                <w:szCs w:val="20"/>
              </w:rPr>
            </w:pPr>
            <w:r>
              <w:rPr>
                <w:rFonts w:hint="eastAsia" w:ascii="宋体" w:hAnsi="宋体"/>
                <w:color w:val="000000"/>
                <w:sz w:val="20"/>
                <w:szCs w:val="20"/>
              </w:rPr>
              <w:t>不提供本金保护，投资者本金</w:t>
            </w:r>
            <w:r>
              <w:rPr>
                <w:rFonts w:hint="eastAsia" w:ascii="宋体" w:hAnsi="宋体"/>
                <w:color w:val="000000"/>
                <w:sz w:val="20"/>
                <w:szCs w:val="20"/>
                <w:lang w:val="en-US" w:eastAsia="zh-CN"/>
              </w:rPr>
              <w:t>损失</w:t>
            </w:r>
            <w:r>
              <w:rPr>
                <w:rFonts w:hint="eastAsia" w:ascii="宋体" w:hAnsi="宋体"/>
                <w:color w:val="000000"/>
                <w:sz w:val="20"/>
                <w:szCs w:val="20"/>
              </w:rPr>
              <w:t>的概率较低</w:t>
            </w:r>
          </w:p>
        </w:tc>
        <w:tc>
          <w:tcPr>
            <w:tcW w:w="1530" w:type="dxa"/>
            <w:tcBorders>
              <w:top w:val="single" w:color="auto" w:sz="4" w:space="0"/>
              <w:left w:val="nil"/>
              <w:bottom w:val="single" w:color="auto" w:sz="4" w:space="0"/>
              <w:right w:val="single" w:color="auto" w:sz="4" w:space="0"/>
            </w:tcBorders>
            <w:vAlign w:val="center"/>
          </w:tcPr>
          <w:p w14:paraId="33AC852F">
            <w:pPr>
              <w:spacing w:after="93" w:afterLines="30"/>
              <w:jc w:val="center"/>
              <w:rPr>
                <w:rFonts w:ascii="宋体" w:hAnsi="宋体"/>
                <w:color w:val="000000"/>
                <w:sz w:val="20"/>
              </w:rPr>
            </w:pPr>
            <w:r>
              <w:rPr>
                <w:rFonts w:hint="eastAsia" w:ascii="宋体" w:hAnsi="宋体"/>
                <w:color w:val="000000"/>
                <w:sz w:val="20"/>
              </w:rPr>
              <w:t>机构投资者</w:t>
            </w:r>
          </w:p>
        </w:tc>
      </w:tr>
      <w:tr w14:paraId="771B3FEC">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0C1A1E">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90500" cy="190500"/>
                  <wp:effectExtent l="0" t="0" r="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743C47">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3</w:t>
            </w:r>
          </w:p>
          <w:p w14:paraId="52749870">
            <w:pPr>
              <w:spacing w:after="93" w:afterLines="30"/>
              <w:jc w:val="center"/>
              <w:rPr>
                <w:rFonts w:ascii="宋体" w:hAnsi="宋体"/>
                <w:color w:val="000000"/>
                <w:sz w:val="20"/>
                <w:szCs w:val="20"/>
              </w:rPr>
            </w:pPr>
            <w:r>
              <w:rPr>
                <w:rFonts w:hint="eastAsia" w:ascii="宋体" w:hAnsi="宋体"/>
                <w:color w:val="000000"/>
                <w:sz w:val="20"/>
                <w:szCs w:val="20"/>
              </w:rPr>
              <w:t>中等风险</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19B4DE3">
            <w:pPr>
              <w:spacing w:after="93" w:afterLines="30"/>
              <w:jc w:val="center"/>
              <w:rPr>
                <w:rFonts w:ascii="宋体" w:hAnsi="宋体"/>
                <w:color w:val="000000"/>
                <w:sz w:val="20"/>
                <w:szCs w:val="20"/>
              </w:rPr>
            </w:pPr>
            <w:r>
              <w:rPr>
                <w:rFonts w:hint="eastAsia" w:ascii="宋体" w:hAnsi="宋体"/>
                <w:color w:val="000000"/>
                <w:sz w:val="20"/>
                <w:szCs w:val="20"/>
              </w:rPr>
              <w:t>不提供本金保护，投资者本金存在一定的损失概率</w:t>
            </w:r>
          </w:p>
        </w:tc>
        <w:tc>
          <w:tcPr>
            <w:tcW w:w="1530" w:type="dxa"/>
            <w:tcBorders>
              <w:top w:val="single" w:color="auto" w:sz="4" w:space="0"/>
              <w:left w:val="nil"/>
              <w:bottom w:val="single" w:color="auto" w:sz="4" w:space="0"/>
              <w:right w:val="single" w:color="auto" w:sz="4" w:space="0"/>
            </w:tcBorders>
            <w:vAlign w:val="center"/>
          </w:tcPr>
          <w:p w14:paraId="4342FFC1">
            <w:pPr>
              <w:spacing w:after="93" w:afterLines="30"/>
              <w:jc w:val="center"/>
              <w:rPr>
                <w:rFonts w:ascii="宋体" w:hAnsi="宋体"/>
                <w:color w:val="000000"/>
                <w:sz w:val="20"/>
              </w:rPr>
            </w:pPr>
            <w:r>
              <w:rPr>
                <w:rFonts w:hint="eastAsia" w:ascii="宋体" w:hAnsi="宋体"/>
                <w:color w:val="000000"/>
                <w:sz w:val="20"/>
              </w:rPr>
              <w:t>机构投资者</w:t>
            </w:r>
          </w:p>
        </w:tc>
      </w:tr>
      <w:tr w14:paraId="6605CF22">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299629">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90500" cy="190500"/>
                  <wp:effectExtent l="0" t="0" r="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8D92ADA">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4</w:t>
            </w:r>
          </w:p>
          <w:p w14:paraId="4E8F521E">
            <w:pPr>
              <w:spacing w:after="93" w:afterLines="30"/>
              <w:jc w:val="center"/>
              <w:rPr>
                <w:rFonts w:ascii="宋体" w:hAnsi="宋体"/>
                <w:color w:val="000000"/>
                <w:sz w:val="20"/>
                <w:szCs w:val="20"/>
              </w:rPr>
            </w:pPr>
            <w:r>
              <w:rPr>
                <w:rFonts w:hint="eastAsia" w:ascii="宋体" w:hAnsi="宋体"/>
                <w:color w:val="000000"/>
                <w:sz w:val="20"/>
                <w:szCs w:val="20"/>
              </w:rPr>
              <w:t>较高风险</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395E0F7">
            <w:pPr>
              <w:spacing w:after="93" w:afterLines="30"/>
              <w:jc w:val="center"/>
              <w:rPr>
                <w:rFonts w:ascii="宋体" w:hAnsi="宋体"/>
                <w:color w:val="000000"/>
                <w:sz w:val="20"/>
                <w:szCs w:val="20"/>
              </w:rPr>
            </w:pPr>
            <w:r>
              <w:rPr>
                <w:rFonts w:hint="eastAsia" w:ascii="宋体" w:hAnsi="宋体"/>
                <w:color w:val="000000"/>
                <w:sz w:val="20"/>
                <w:szCs w:val="20"/>
              </w:rPr>
              <w:t>不提供本金保护，投资者本金亏损的概率较高</w:t>
            </w:r>
          </w:p>
        </w:tc>
        <w:tc>
          <w:tcPr>
            <w:tcW w:w="1530" w:type="dxa"/>
            <w:tcBorders>
              <w:top w:val="single" w:color="auto" w:sz="4" w:space="0"/>
              <w:left w:val="nil"/>
              <w:bottom w:val="single" w:color="auto" w:sz="4" w:space="0"/>
              <w:right w:val="single" w:color="auto" w:sz="4" w:space="0"/>
            </w:tcBorders>
            <w:vAlign w:val="center"/>
          </w:tcPr>
          <w:p w14:paraId="3E6D060F">
            <w:pPr>
              <w:spacing w:after="93" w:afterLines="30"/>
              <w:jc w:val="center"/>
              <w:rPr>
                <w:rFonts w:ascii="宋体" w:hAnsi="宋体"/>
                <w:color w:val="000000"/>
                <w:sz w:val="20"/>
              </w:rPr>
            </w:pPr>
            <w:r>
              <w:rPr>
                <w:rFonts w:hint="eastAsia" w:ascii="宋体" w:hAnsi="宋体"/>
                <w:color w:val="000000"/>
                <w:sz w:val="20"/>
              </w:rPr>
              <w:t>机构投资者</w:t>
            </w:r>
          </w:p>
        </w:tc>
      </w:tr>
      <w:tr w14:paraId="4E5A755C">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58D464">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90500" cy="190500"/>
                  <wp:effectExtent l="0" t="0" r="0" b="0"/>
                  <wp:docPr id="1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r>
              <w:rPr>
                <w:rFonts w:ascii="宋体" w:hAnsi="宋体"/>
                <w:color w:val="000000"/>
                <w:sz w:val="20"/>
                <w:szCs w:val="20"/>
              </w:rPr>
              <w:drawing>
                <wp:inline distT="0" distB="0" distL="0" distR="0">
                  <wp:extent cx="190500" cy="190500"/>
                  <wp:effectExtent l="0" t="0" r="0" b="0"/>
                  <wp:docPr id="1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A736EF4">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5</w:t>
            </w:r>
          </w:p>
          <w:p w14:paraId="43CDDED4">
            <w:pPr>
              <w:spacing w:after="93" w:afterLines="30"/>
              <w:jc w:val="center"/>
              <w:rPr>
                <w:rFonts w:ascii="宋体" w:hAnsi="宋体"/>
                <w:color w:val="000000"/>
                <w:sz w:val="20"/>
                <w:szCs w:val="20"/>
              </w:rPr>
            </w:pPr>
            <w:r>
              <w:rPr>
                <w:rFonts w:hint="eastAsia" w:ascii="宋体" w:hAnsi="宋体"/>
                <w:color w:val="000000"/>
                <w:sz w:val="20"/>
                <w:szCs w:val="20"/>
              </w:rPr>
              <w:t>高风险</w:t>
            </w:r>
          </w:p>
        </w:tc>
        <w:tc>
          <w:tcPr>
            <w:tcW w:w="33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7C42314">
            <w:pPr>
              <w:spacing w:after="93" w:afterLines="30"/>
              <w:jc w:val="center"/>
              <w:rPr>
                <w:rFonts w:ascii="宋体" w:hAnsi="宋体"/>
                <w:color w:val="000000"/>
                <w:sz w:val="20"/>
                <w:szCs w:val="20"/>
              </w:rPr>
            </w:pPr>
            <w:r>
              <w:rPr>
                <w:rFonts w:hint="eastAsia" w:ascii="宋体" w:hAnsi="宋体"/>
                <w:color w:val="000000"/>
                <w:sz w:val="20"/>
                <w:szCs w:val="20"/>
              </w:rPr>
              <w:t>不提供本金保护，投资者本金亏损的概率很高</w:t>
            </w:r>
          </w:p>
        </w:tc>
        <w:tc>
          <w:tcPr>
            <w:tcW w:w="1530" w:type="dxa"/>
            <w:tcBorders>
              <w:top w:val="single" w:color="auto" w:sz="4" w:space="0"/>
              <w:left w:val="nil"/>
              <w:bottom w:val="single" w:color="auto" w:sz="4" w:space="0"/>
              <w:right w:val="single" w:color="auto" w:sz="4" w:space="0"/>
            </w:tcBorders>
            <w:vAlign w:val="center"/>
          </w:tcPr>
          <w:p w14:paraId="0B1B281E">
            <w:pPr>
              <w:spacing w:after="93" w:afterLines="30"/>
              <w:jc w:val="center"/>
              <w:rPr>
                <w:rFonts w:ascii="宋体" w:hAnsi="宋体"/>
                <w:color w:val="000000"/>
                <w:sz w:val="20"/>
              </w:rPr>
            </w:pPr>
            <w:r>
              <w:rPr>
                <w:rFonts w:hint="eastAsia" w:ascii="宋体" w:hAnsi="宋体"/>
                <w:color w:val="000000"/>
                <w:sz w:val="20"/>
              </w:rPr>
              <w:t>机构投资者</w:t>
            </w:r>
          </w:p>
        </w:tc>
      </w:tr>
    </w:tbl>
    <w:p w14:paraId="2B7581A7">
      <w:pPr>
        <w:pStyle w:val="5"/>
        <w:tabs>
          <w:tab w:val="left" w:pos="720"/>
        </w:tabs>
        <w:spacing w:after="93" w:afterLines="30"/>
        <w:ind w:left="0" w:leftChars="0" w:firstLine="402" w:firstLineChars="200"/>
        <w:rPr>
          <w:rFonts w:ascii="宋体" w:hAnsi="宋体" w:cs="黑体"/>
          <w:b/>
          <w:szCs w:val="20"/>
        </w:rPr>
      </w:pPr>
      <w:r>
        <w:rPr>
          <w:rFonts w:hint="eastAsia" w:ascii="宋体" w:hAnsi="宋体" w:cs="黑体"/>
          <w:b/>
          <w:szCs w:val="20"/>
        </w:rPr>
        <w:t>注：本风险评级为产品管理人内部评级结果，该评级仅供参考，不具有法律效力。</w:t>
      </w:r>
    </w:p>
    <w:p w14:paraId="24C6DC9B">
      <w:pPr>
        <w:pStyle w:val="5"/>
        <w:tabs>
          <w:tab w:val="left" w:pos="720"/>
        </w:tabs>
        <w:spacing w:after="93" w:afterLines="30"/>
        <w:ind w:left="0" w:leftChars="0" w:firstLine="402" w:firstLineChars="200"/>
        <w:rPr>
          <w:rFonts w:ascii="宋体" w:hAnsi="宋体"/>
          <w:szCs w:val="20"/>
        </w:rPr>
      </w:pPr>
      <w:r>
        <w:rPr>
          <w:rFonts w:hint="eastAsia" w:ascii="宋体" w:hAnsi="宋体"/>
          <w:b/>
          <w:bCs/>
          <w:szCs w:val="20"/>
        </w:rPr>
        <w:t>在投资者选择购买理财产品前，请注意投资风险，仔细阅读理财产品销售文件，了解理财产品具体情况。投资者应在详细了解和审慎评估该理财产品的资金投资方向、风险评级等基本情况后，自行决定购买与自身风险承受能力和资产管理需求匹配的理财产品。产品管理人提醒投资者应本着“充分了解风险，自主选择购买”的原则，谨慎决策，自愿将其合法所有的资金用于购买本产品。</w:t>
      </w:r>
      <w:r>
        <w:rPr>
          <w:rFonts w:ascii="宋体" w:hAnsi="宋体"/>
          <w:b/>
          <w:szCs w:val="20"/>
        </w:rPr>
        <w:t>产品管理人将按照产品说明书有关“信息披露”的约定进行产品信息披露。</w:t>
      </w:r>
      <w:r>
        <w:rPr>
          <w:rFonts w:hint="eastAsia" w:ascii="宋体" w:hAnsi="宋体"/>
          <w:b/>
          <w:bCs/>
          <w:szCs w:val="20"/>
        </w:rPr>
        <w:t>在购买本产品后，投资者应随时关注本产品的信息披露情况，及时获取相关信息。</w:t>
      </w:r>
      <w:r>
        <w:rPr>
          <w:rFonts w:hint="eastAsia" w:ascii="宋体" w:hAnsi="宋体"/>
          <w:b/>
          <w:szCs w:val="20"/>
        </w:rPr>
        <w:t>投资者可能面临下述风险：</w:t>
      </w:r>
    </w:p>
    <w:p w14:paraId="3177EB5A">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政策风险</w:t>
      </w:r>
      <w:r>
        <w:rPr>
          <w:rFonts w:hint="eastAsia" w:ascii="宋体" w:hAnsi="宋体"/>
          <w:szCs w:val="20"/>
        </w:rPr>
        <w:t>：本产品是依照当前的法律法规、相关监管规定和政策设计的。如国家宏观政策以及市场法律法规、相关监管规定发生变化，可能影响产品的受理、投资运作、清算等业务的正常进行，并导致本产品收益较低甚至本金损失，也可能导致本产品违反国家法律、法规或者其他合同的有关规定，进而导致本产品被宣告无效、撤销、解除或提前终止等。若本产品投资境外资产，所投资的境外国家或地区出现大的变化，如政府更迭、政策调整、制度变革、国内出现动乱、对外政治关系发生危机等，都可能对理财产品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投资运作、交易结算、资金汇出入等业务环节，给理财产品造成财产损失、交易延误、转换币种兑付等相关风险。</w:t>
      </w:r>
    </w:p>
    <w:p w14:paraId="1EFF41B6">
      <w:pPr>
        <w:pStyle w:val="5"/>
        <w:tabs>
          <w:tab w:val="left" w:pos="720"/>
        </w:tabs>
        <w:spacing w:after="93" w:afterLines="30"/>
        <w:ind w:left="0" w:leftChars="0" w:firstLine="418" w:firstLineChars="209"/>
        <w:rPr>
          <w:rFonts w:ascii="宋体" w:hAnsi="宋体"/>
          <w:szCs w:val="20"/>
        </w:rPr>
      </w:pPr>
      <w:r>
        <w:rPr>
          <w:rFonts w:hint="eastAsia" w:ascii="宋体" w:hAnsi="宋体"/>
          <w:szCs w:val="20"/>
        </w:rPr>
        <w:t>2.</w:t>
      </w:r>
      <w:r>
        <w:rPr>
          <w:rFonts w:hint="eastAsia" w:ascii="宋体" w:hAnsi="宋体"/>
          <w:b/>
          <w:szCs w:val="20"/>
        </w:rPr>
        <w:t>信用风险</w:t>
      </w:r>
      <w:r>
        <w:rPr>
          <w:rFonts w:hint="eastAsia" w:ascii="宋体" w:hAnsi="宋体"/>
          <w:szCs w:val="20"/>
        </w:rPr>
        <w:t>：本产品的基础资产项下义务人可能出现违约情形，若</w:t>
      </w:r>
      <w:r>
        <w:rPr>
          <w:rFonts w:ascii="宋体" w:hAnsi="宋体"/>
          <w:szCs w:val="20"/>
        </w:rPr>
        <w:t>义务人发生信用风险事件，将导致相关金融产品的市场价值下跌或收益</w:t>
      </w:r>
      <w:r>
        <w:rPr>
          <w:rFonts w:hint="eastAsia" w:ascii="宋体" w:hAnsi="宋体"/>
          <w:szCs w:val="20"/>
        </w:rPr>
        <w:t>较低</w:t>
      </w:r>
      <w:r>
        <w:rPr>
          <w:rFonts w:ascii="宋体" w:hAnsi="宋体"/>
          <w:szCs w:val="20"/>
        </w:rPr>
        <w:t>、到期本金无法足额按时</w:t>
      </w:r>
      <w:r>
        <w:rPr>
          <w:rFonts w:hint="eastAsia" w:ascii="宋体" w:hAnsi="宋体"/>
          <w:szCs w:val="20"/>
        </w:rPr>
        <w:t>偿还</w:t>
      </w:r>
      <w:r>
        <w:rPr>
          <w:rFonts w:ascii="宋体" w:hAnsi="宋体"/>
          <w:szCs w:val="20"/>
        </w:rPr>
        <w:t>，从而使投资者利益</w:t>
      </w:r>
      <w:r>
        <w:rPr>
          <w:rFonts w:hint="eastAsia" w:ascii="宋体" w:hAnsi="宋体"/>
          <w:szCs w:val="20"/>
        </w:rPr>
        <w:t>蒙受</w:t>
      </w:r>
      <w:r>
        <w:rPr>
          <w:rFonts w:ascii="宋体" w:hAnsi="宋体"/>
          <w:szCs w:val="20"/>
        </w:rPr>
        <w:t>损失、本金部分损失、甚至本金全部损失的风险。</w:t>
      </w:r>
    </w:p>
    <w:p w14:paraId="1E258846">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3.</w:t>
      </w:r>
      <w:r>
        <w:rPr>
          <w:rFonts w:hint="eastAsia" w:ascii="宋体" w:hAnsi="宋体"/>
          <w:b/>
          <w:szCs w:val="20"/>
        </w:rPr>
        <w:t>流动性风险</w:t>
      </w:r>
      <w:r>
        <w:rPr>
          <w:rFonts w:hint="eastAsia" w:ascii="宋体" w:hAnsi="宋体"/>
          <w:szCs w:val="20"/>
        </w:rPr>
        <w:t>：</w:t>
      </w:r>
      <w:r>
        <w:rPr>
          <w:rFonts w:hint="eastAsia" w:ascii="宋体" w:hAnsi="宋体"/>
          <w:b/>
          <w:szCs w:val="20"/>
        </w:rPr>
        <w:t>流动性风险是指理财产品无法通过变现资产等途径以合理成本及时获得充足资金，用于满足该理财产品履行支付义务的风险。</w:t>
      </w:r>
    </w:p>
    <w:p w14:paraId="3EDFE677">
      <w:pPr>
        <w:pStyle w:val="5"/>
        <w:tabs>
          <w:tab w:val="left" w:pos="720"/>
        </w:tabs>
        <w:spacing w:after="30"/>
        <w:ind w:left="0" w:leftChars="0" w:firstLine="402"/>
        <w:rPr>
          <w:rFonts w:ascii="宋体" w:hAnsi="宋体"/>
          <w:b/>
          <w:szCs w:val="20"/>
        </w:rPr>
      </w:pPr>
      <w:r>
        <w:rPr>
          <w:rFonts w:hint="eastAsia" w:ascii="宋体" w:hAnsi="宋体"/>
          <w:b/>
          <w:kern w:val="2"/>
        </w:rPr>
        <w:t>（</w:t>
      </w:r>
      <w:r>
        <w:rPr>
          <w:rFonts w:ascii="宋体" w:hAnsi="宋体"/>
          <w:b/>
          <w:kern w:val="2"/>
        </w:rPr>
        <w:t>1）</w:t>
      </w:r>
      <w:r>
        <w:rPr>
          <w:rFonts w:hint="eastAsia" w:ascii="宋体" w:hAnsi="宋体"/>
          <w:b/>
          <w:kern w:val="2"/>
        </w:rPr>
        <w:t>产品认购</w:t>
      </w:r>
      <w:r>
        <w:rPr>
          <w:rFonts w:ascii="宋体" w:hAnsi="宋体"/>
          <w:b/>
          <w:kern w:val="2"/>
        </w:rPr>
        <w:t>/兑付安排</w:t>
      </w:r>
    </w:p>
    <w:p w14:paraId="6A5A5C58">
      <w:pPr>
        <w:pStyle w:val="5"/>
        <w:tabs>
          <w:tab w:val="left" w:pos="720"/>
        </w:tabs>
        <w:spacing w:after="0"/>
        <w:ind w:left="0" w:leftChars="0" w:firstLine="402"/>
        <w:rPr>
          <w:rFonts w:ascii="宋体" w:hAnsi="宋体"/>
          <w:b/>
          <w:kern w:val="2"/>
        </w:rPr>
      </w:pPr>
      <w:r>
        <w:rPr>
          <w:rFonts w:hint="eastAsia" w:ascii="宋体" w:hAnsi="宋体"/>
          <w:b/>
          <w:szCs w:val="20"/>
        </w:rPr>
        <w:t>本产品存续期内，投资者无提前终止权，可能导致投资者需要资金时不能随时变现，并可能使投资者丧失其他投资机会的风险。</w:t>
      </w:r>
      <w:r>
        <w:rPr>
          <w:rFonts w:hint="eastAsia" w:ascii="宋体" w:hAnsi="宋体"/>
          <w:b/>
          <w:kern w:val="2"/>
        </w:rPr>
        <w:t>因系统原因，理财产品可能出现不能提出认购申请的情况，可能导致投资者不能按需购买理财产品，或需要资金时不能按需变现，并可能产生投资者丧失投资机会的风险。</w:t>
      </w:r>
    </w:p>
    <w:p w14:paraId="261A1AC4">
      <w:pPr>
        <w:pStyle w:val="5"/>
        <w:tabs>
          <w:tab w:val="left" w:pos="720"/>
        </w:tabs>
        <w:spacing w:after="93" w:afterLines="30"/>
        <w:ind w:left="0" w:leftChars="0" w:firstLine="402" w:firstLineChars="200"/>
        <w:rPr>
          <w:rFonts w:ascii="宋体" w:hAnsi="宋体"/>
          <w:b/>
          <w:szCs w:val="20"/>
        </w:rPr>
      </w:pPr>
      <w:r>
        <w:rPr>
          <w:rFonts w:hint="eastAsia" w:ascii="宋体" w:hAnsi="宋体"/>
          <w:b/>
        </w:rPr>
        <w:t>本产品的认购、兑付安排详见产品说明书“三、产品运作说明”中“（二）产品认购”、“六、产品终止说明”的相关规定。</w:t>
      </w:r>
    </w:p>
    <w:p w14:paraId="7DF96115">
      <w:pPr>
        <w:pStyle w:val="5"/>
        <w:tabs>
          <w:tab w:val="left" w:pos="720"/>
        </w:tabs>
        <w:spacing w:after="93" w:afterLines="30"/>
        <w:ind w:left="0" w:leftChars="0" w:firstLine="402" w:firstLineChars="200"/>
        <w:rPr>
          <w:rFonts w:ascii="宋体" w:hAnsi="宋体"/>
          <w:b/>
          <w:szCs w:val="20"/>
        </w:rPr>
      </w:pPr>
      <w:r>
        <w:rPr>
          <w:rFonts w:hint="eastAsia" w:ascii="宋体" w:hAnsi="宋体"/>
          <w:b/>
        </w:rPr>
        <w:t>（2）拟投资市场、资产的流动性风险评估</w:t>
      </w:r>
    </w:p>
    <w:p w14:paraId="342ADB94">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若本产品投资的基础资产成交少，流动性低，或对于非公开发行债券等流动和</w:t>
      </w:r>
      <w:r>
        <w:rPr>
          <w:rFonts w:ascii="宋体" w:hAnsi="宋体"/>
          <w:b/>
          <w:szCs w:val="20"/>
        </w:rPr>
        <w:t>/或转让存在一定的限制的资产，即使在市场流动性比较好的情况下，个别资产的流动性可能较差，均可能造成无法以合理价格买入或卖出的情形，并因此影响投资者收益，甚至使本产品遭受损失。对于流</w:t>
      </w:r>
      <w:r>
        <w:rPr>
          <w:rFonts w:hint="eastAsia" w:ascii="宋体" w:hAnsi="宋体"/>
          <w:b/>
          <w:szCs w:val="20"/>
        </w:rPr>
        <w:t>动性好的基础资产，可能在一些时期受市场行情、投资群体等诸多因素的影响，出现成交少，流动性低的情况，在市场流动性相对不足时，可能增加变现成本或出现变现困难，对投资造成不利影响。</w:t>
      </w:r>
    </w:p>
    <w:p w14:paraId="093E6F9E">
      <w:pPr>
        <w:pStyle w:val="5"/>
        <w:tabs>
          <w:tab w:val="left" w:pos="720"/>
        </w:tabs>
        <w:spacing w:after="30"/>
        <w:ind w:left="0" w:leftChars="0" w:firstLine="402"/>
        <w:rPr>
          <w:rFonts w:ascii="宋体" w:hAnsi="宋体"/>
          <w:b/>
          <w:szCs w:val="20"/>
        </w:rPr>
      </w:pPr>
      <w:r>
        <w:rPr>
          <w:rFonts w:hint="eastAsia" w:ascii="宋体" w:hAnsi="宋体"/>
          <w:b/>
          <w:kern w:val="2"/>
        </w:rPr>
        <w:t>（</w:t>
      </w:r>
      <w:r>
        <w:rPr>
          <w:rFonts w:ascii="宋体" w:hAnsi="宋体"/>
          <w:b/>
          <w:kern w:val="2"/>
        </w:rPr>
        <w:t>3）</w:t>
      </w:r>
      <w:r>
        <w:rPr>
          <w:rFonts w:hint="eastAsia" w:ascii="宋体" w:hAnsi="宋体"/>
          <w:b/>
        </w:rPr>
        <w:t>实施</w:t>
      </w:r>
      <w:r>
        <w:rPr>
          <w:rFonts w:ascii="宋体" w:hAnsi="宋体"/>
          <w:b/>
        </w:rPr>
        <w:t>认购风险应对措施</w:t>
      </w:r>
      <w:r>
        <w:rPr>
          <w:rFonts w:hint="eastAsia" w:ascii="宋体" w:hAnsi="宋体"/>
          <w:b/>
        </w:rPr>
        <w:t>的情形、程序及对投资者的潜在影响</w:t>
      </w:r>
    </w:p>
    <w:p w14:paraId="1CCB6F0D">
      <w:pPr>
        <w:ind w:firstLine="402"/>
        <w:rPr>
          <w:rFonts w:ascii="宋体" w:hAnsi="宋体"/>
          <w:b/>
          <w:sz w:val="20"/>
          <w:szCs w:val="20"/>
        </w:rPr>
      </w:pPr>
      <w:r>
        <w:rPr>
          <w:rFonts w:hint="eastAsia" w:ascii="宋体" w:hAnsi="宋体"/>
          <w:b/>
          <w:sz w:val="20"/>
          <w:szCs w:val="20"/>
        </w:rPr>
        <w:t>在确保投资者得到公平对待的前提下，产品管理人可依照法律法规及产品说明书的约定，实施</w:t>
      </w:r>
      <w:r>
        <w:rPr>
          <w:rFonts w:ascii="宋体" w:hAnsi="宋体"/>
          <w:b/>
          <w:sz w:val="20"/>
          <w:szCs w:val="20"/>
        </w:rPr>
        <w:t>认购风险应对措施</w:t>
      </w:r>
      <w:r>
        <w:rPr>
          <w:rFonts w:hint="eastAsia" w:ascii="宋体" w:hAnsi="宋体"/>
          <w:b/>
          <w:sz w:val="20"/>
          <w:szCs w:val="20"/>
        </w:rPr>
        <w:t>，投资者具体请参见产品说明书“三、产品运作说明”中“（二）产品认购”的相关规定，详细了解本产品采取认购</w:t>
      </w:r>
      <w:r>
        <w:rPr>
          <w:rFonts w:ascii="宋体" w:hAnsi="宋体"/>
          <w:b/>
          <w:sz w:val="20"/>
          <w:szCs w:val="20"/>
        </w:rPr>
        <w:t>风险应对措施的情形及程序。</w:t>
      </w:r>
    </w:p>
    <w:p w14:paraId="147F3A2B">
      <w:pPr>
        <w:pStyle w:val="5"/>
        <w:tabs>
          <w:tab w:val="left" w:pos="720"/>
        </w:tabs>
        <w:spacing w:after="93" w:afterLines="30"/>
        <w:ind w:left="0" w:leftChars="0" w:firstLine="402" w:firstLineChars="200"/>
        <w:rPr>
          <w:rFonts w:ascii="宋体" w:hAnsi="宋体"/>
          <w:b/>
        </w:rPr>
      </w:pPr>
      <w:r>
        <w:rPr>
          <w:rFonts w:hint="eastAsia" w:ascii="宋体" w:hAnsi="宋体"/>
          <w:b/>
        </w:rPr>
        <w:t>在此情形下，投资者的全部或部分认购</w:t>
      </w:r>
      <w:r>
        <w:rPr>
          <w:rFonts w:ascii="宋体" w:hAnsi="宋体"/>
          <w:b/>
        </w:rPr>
        <w:t>申请可能被拒绝，投资者本金无法参与本产品的投资运作。</w:t>
      </w:r>
    </w:p>
    <w:p w14:paraId="22AA0A4C">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4.</w:t>
      </w:r>
      <w:r>
        <w:rPr>
          <w:rFonts w:hint="eastAsia" w:ascii="宋体" w:hAnsi="宋体"/>
          <w:b/>
          <w:szCs w:val="20"/>
        </w:rPr>
        <w:t>市场风险</w:t>
      </w:r>
      <w:r>
        <w:rPr>
          <w:rFonts w:hint="eastAsia" w:ascii="宋体" w:hAnsi="宋体"/>
          <w:szCs w:val="20"/>
        </w:rPr>
        <w:t>：</w:t>
      </w:r>
      <w:r>
        <w:rPr>
          <w:rFonts w:hint="eastAsia" w:ascii="宋体" w:hAnsi="宋体"/>
          <w:b/>
          <w:szCs w:val="20"/>
        </w:rPr>
        <w:t>本产品投资的基础资产价值受未来市场的不确定影响可能出现波动，从而导致投资者收益波动、收益为零甚至本产品份额净值跌破面值、本金损失的情况。</w:t>
      </w:r>
    </w:p>
    <w:p w14:paraId="4E1CC5B0">
      <w:pPr>
        <w:pStyle w:val="5"/>
        <w:tabs>
          <w:tab w:val="left" w:pos="720"/>
        </w:tabs>
        <w:spacing w:after="93" w:afterLines="30"/>
        <w:ind w:left="0" w:leftChars="0" w:firstLine="400" w:firstLineChars="200"/>
        <w:rPr>
          <w:rFonts w:ascii="宋体" w:hAnsi="宋体" w:cs="黑体"/>
          <w:szCs w:val="20"/>
        </w:rPr>
      </w:pPr>
      <w:r>
        <w:rPr>
          <w:rFonts w:hint="eastAsia" w:ascii="宋体" w:hAnsi="宋体"/>
          <w:szCs w:val="20"/>
        </w:rPr>
        <w:t>5.</w:t>
      </w:r>
      <w:r>
        <w:rPr>
          <w:rFonts w:hint="eastAsia" w:ascii="宋体" w:hAnsi="宋体"/>
          <w:b/>
          <w:szCs w:val="20"/>
        </w:rPr>
        <w:t>管理风险</w:t>
      </w:r>
      <w:r>
        <w:rPr>
          <w:rFonts w:hint="eastAsia" w:ascii="宋体" w:hAnsi="宋体"/>
          <w:szCs w:val="20"/>
        </w:rPr>
        <w:t>：</w:t>
      </w:r>
      <w:r>
        <w:rPr>
          <w:rFonts w:hint="eastAsia" w:ascii="宋体" w:hAnsi="宋体" w:cs="黑体"/>
          <w:szCs w:val="20"/>
        </w:rPr>
        <w:t>基础资产管理方受经验、技能、判断力、执行力等方面的限制，可能对产品的运作及管理造成一定影响，并因此影响投资者收益。</w:t>
      </w:r>
    </w:p>
    <w:p w14:paraId="5CB19B93">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利率、汇率及通货膨胀风险</w:t>
      </w:r>
      <w:r>
        <w:rPr>
          <w:rFonts w:hint="eastAsia" w:ascii="宋体" w:hAnsi="宋体"/>
          <w:szCs w:val="20"/>
        </w:rPr>
        <w:t>：在本产品存续期限内，金融市场利率、汇率波动会导致证券市场的价格和收益率变动，影响企业的融资成本和利润。对于债券等资产，其收益水平会受到利率、汇率变化的影响，导致公允价值会有波动，从而导致本产品份额净值较低，甚至跌破面值、本金损失。同时，本产品存在实际收益率可能低于通货膨胀率，从而导致投资者实际收益为负的风险。</w:t>
      </w:r>
    </w:p>
    <w:p w14:paraId="6C23ED99">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担保安排风险</w:t>
      </w:r>
      <w:r>
        <w:rPr>
          <w:rFonts w:hint="eastAsia" w:ascii="宋体" w:hAnsi="宋体"/>
          <w:szCs w:val="20"/>
        </w:rPr>
        <w:t>：如本产品所投资的基础资产存在担保安排的，若由于政府机构登记系统等原因导致担保登记手续等无法办理或存在瑕疵，或由于市场原因、担保人原因或政府机构、法院执行等原因导致担保财产价值下降或被冻结，或者担保财产上存在权利限制、担保人发生没有及时办理担保登记手续等违反约定情况使得担保财产受到不利影响，或者担保财产在变现时存在无法变现、变现存在困难或变现金额低于担保财产价值等，可能影响投资者收益，甚至使产品本金遭受损失。如本产品所投资的基础资产存在保证担保安排的，若由于保证人因任何原因未履行保证义务的，可能影响投资者收益，甚至使产品本金遭受损失。</w:t>
      </w:r>
    </w:p>
    <w:p w14:paraId="778D718B">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8.</w:t>
      </w:r>
      <w:r>
        <w:rPr>
          <w:rFonts w:hint="eastAsia" w:ascii="宋体" w:hAnsi="宋体"/>
          <w:b/>
          <w:szCs w:val="20"/>
        </w:rPr>
        <w:t>投资特定标的可能引起的其他特殊风险</w:t>
      </w:r>
      <w:r>
        <w:rPr>
          <w:rFonts w:hint="eastAsia" w:ascii="宋体" w:hAnsi="宋体"/>
          <w:szCs w:val="20"/>
        </w:rPr>
        <w:t>：除上述政策风险，信用风险，流动性风险，市场风险，管理风险，利率、汇率及通货膨胀风险，担保安排风险等风险外，本产品投资特定标的可能引起其他特殊风险如下：</w:t>
      </w:r>
    </w:p>
    <w:p w14:paraId="3E04A55B">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债券投资风险（如有）</w:t>
      </w:r>
      <w:r>
        <w:rPr>
          <w:rFonts w:hint="eastAsia" w:ascii="宋体" w:hAnsi="宋体"/>
          <w:szCs w:val="20"/>
        </w:rPr>
        <w:t>：债券市场不同期限、不同风险等级、不同种类债券之间的利差变动，可能导致债券价格下跌。若利用回购进行债券投资的放大操作，可能产生放大投资损失的风险。所投资债券的发行人如出现违约、无法支付到期本息，或由于债券发行人信用等级降低导致债券价格下降等，可能影响投资者收益，甚至使产品本金遭受损失。</w:t>
      </w:r>
    </w:p>
    <w:p w14:paraId="1DCFCC37">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（2）</w:t>
      </w:r>
      <w:r>
        <w:rPr>
          <w:rFonts w:hint="eastAsia" w:ascii="宋体" w:hAnsi="宋体"/>
          <w:b/>
          <w:szCs w:val="20"/>
        </w:rPr>
        <w:t>资产支持证券/资产支持票据投资风险（如有）</w:t>
      </w:r>
      <w:r>
        <w:rPr>
          <w:rFonts w:hint="eastAsia" w:ascii="宋体" w:hAnsi="宋体"/>
          <w:szCs w:val="20"/>
        </w:rPr>
        <w:t>：若资产支持证券或资产支持票据项下的基础资产发生原始权益人破产或基础资产项下现金流未能及时完整取得等情况，可能因此影响投资者收益，甚至使本产品遭受损失。</w:t>
      </w:r>
    </w:p>
    <w:p w14:paraId="49649277">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（3）</w:t>
      </w:r>
      <w:r>
        <w:rPr>
          <w:rFonts w:hint="eastAsia" w:ascii="宋体" w:hAnsi="宋体"/>
          <w:b/>
          <w:szCs w:val="20"/>
        </w:rPr>
        <w:t>可转换债券、可交换债券投资风险（如有）</w:t>
      </w:r>
      <w:r>
        <w:rPr>
          <w:rFonts w:hint="eastAsia" w:ascii="宋体" w:hAnsi="宋体"/>
          <w:szCs w:val="20"/>
        </w:rPr>
        <w:t>：可转换债券或可交换债券收益与对应标的股票股价直接挂钩，可能受对应标的股票价格波动的影响；转股期内，对应标的股票价格可能低于转股价格，若选择转股，本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产品遭受损失。</w:t>
      </w:r>
    </w:p>
    <w:p w14:paraId="1E08D719">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（4）</w:t>
      </w:r>
      <w:r>
        <w:rPr>
          <w:rFonts w:hint="eastAsia" w:ascii="宋体" w:hAnsi="宋体"/>
          <w:b/>
          <w:szCs w:val="20"/>
        </w:rPr>
        <w:t>股票投资风险（如有）</w:t>
      </w:r>
      <w:r>
        <w:rPr>
          <w:rFonts w:hint="eastAsia" w:ascii="宋体" w:hAnsi="宋体"/>
          <w:szCs w:val="20"/>
        </w:rPr>
        <w:t>：上市公司的经营状况受多种因素影响，如市场、技术、竞争、管理、财务等都可能导致公司盈利发生变化，从而导致股票价格下跌，影响投资者收益，甚至使本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产品遭受损失。</w:t>
      </w:r>
    </w:p>
    <w:p w14:paraId="307B0FB3">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（5）</w:t>
      </w:r>
      <w:r>
        <w:rPr>
          <w:rFonts w:hint="eastAsia" w:ascii="宋体" w:hAnsi="宋体"/>
          <w:b/>
          <w:szCs w:val="20"/>
        </w:rPr>
        <w:t>商品及金融衍生品投资风险（如有）</w:t>
      </w:r>
      <w:r>
        <w:rPr>
          <w:rFonts w:hint="eastAsia" w:ascii="宋体" w:hAnsi="宋体"/>
          <w:szCs w:val="20"/>
        </w:rPr>
        <w:t>：商品及金融衍生品投资可能实行保证金交易制度，具有高杠杆性，高杠杆效应放大了价格波动风险，当出现不利行情时，标的资产价格微小的变动就可能会使本产品遭受较大损失；基差是指现货价格与期货价格之间的差额，若本产品运作中出现基差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商品及金融衍生品投资受到包括但不限于上述因素影响时，可能影响投资者收益，甚至使本产品遭受损失。</w:t>
      </w:r>
    </w:p>
    <w:p w14:paraId="65ED6B27">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非标准化债权类资产投资风险（如有）</w:t>
      </w:r>
      <w:r>
        <w:rPr>
          <w:rFonts w:hint="eastAsia" w:ascii="宋体" w:hAnsi="宋体"/>
          <w:szCs w:val="20"/>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A3CA0AD">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公募基金、资产管理计划、信托计划、信托受益权等资产投资风险（如有）</w:t>
      </w:r>
      <w:r>
        <w:rPr>
          <w:rFonts w:hint="eastAsia" w:ascii="宋体" w:hAnsi="宋体"/>
          <w:szCs w:val="20"/>
        </w:rPr>
        <w:t>：若本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产品所投资的公募基金、资产管理计划、信托计划、信托受益权等的财产损失，从而影响投资者收益，甚至使本产品遭受损失。</w:t>
      </w:r>
    </w:p>
    <w:p w14:paraId="7322AF00">
      <w:pPr>
        <w:pStyle w:val="5"/>
        <w:tabs>
          <w:tab w:val="left" w:pos="720"/>
        </w:tabs>
        <w:spacing w:after="93" w:afterLines="30"/>
        <w:ind w:left="0" w:leftChars="0" w:firstLine="402" w:firstLineChars="200"/>
        <w:rPr>
          <w:rFonts w:ascii="宋体" w:hAnsi="宋体"/>
        </w:rPr>
      </w:pPr>
      <w:r>
        <w:rPr>
          <w:rFonts w:hint="eastAsia" w:ascii="宋体" w:hAnsi="宋体"/>
          <w:b/>
        </w:rPr>
        <w:t>（</w:t>
      </w:r>
      <w:r>
        <w:rPr>
          <w:rFonts w:ascii="宋体" w:hAnsi="宋体"/>
          <w:b/>
        </w:rPr>
        <w:t>8）不存在活跃交易市场且需采用估值技术确定公允价值的资产投资风险（如有）：</w:t>
      </w:r>
      <w:r>
        <w:rPr>
          <w:rFonts w:hint="eastAsia" w:ascii="宋体" w:hAnsi="宋体"/>
        </w:rPr>
        <w:t>本产品可能投资于不存在活跃交易市场，并且需要采用估值技术确定公允价值的资产，该类资产占本产品净资产比例可能超过50%。产品可能无法通过变现资产等途径以合理成本及时获得充足资金，无法按时兑付投资者。</w:t>
      </w:r>
    </w:p>
    <w:p w14:paraId="1E790AAE">
      <w:pPr>
        <w:pStyle w:val="5"/>
        <w:tabs>
          <w:tab w:val="left" w:pos="720"/>
        </w:tabs>
        <w:spacing w:after="93" w:afterLines="30"/>
        <w:ind w:left="0" w:leftChars="0" w:firstLine="400" w:firstLineChars="200"/>
        <w:rPr>
          <w:rFonts w:ascii="宋体" w:hAnsi="宋体"/>
          <w:szCs w:val="20"/>
        </w:rPr>
      </w:pPr>
      <w:r>
        <w:rPr>
          <w:rFonts w:ascii="宋体" w:hAnsi="宋体"/>
          <w:szCs w:val="20"/>
        </w:rPr>
        <w:t>9</w:t>
      </w:r>
      <w:r>
        <w:rPr>
          <w:rFonts w:hint="eastAsia" w:ascii="宋体" w:hAnsi="宋体"/>
          <w:szCs w:val="20"/>
        </w:rPr>
        <w:t>.</w:t>
      </w:r>
      <w:r>
        <w:rPr>
          <w:rFonts w:hint="eastAsia" w:ascii="宋体" w:hAnsi="宋体"/>
          <w:b/>
          <w:szCs w:val="20"/>
        </w:rPr>
        <w:t>信息传递风险</w:t>
      </w:r>
      <w:r>
        <w:rPr>
          <w:rFonts w:hint="eastAsia" w:ascii="宋体" w:hAnsi="宋体"/>
          <w:szCs w:val="20"/>
        </w:rPr>
        <w:t>：产品管理人将按照本说明书有关“信息披露”的约定进行产品信息披露。投资者应根据“信息披露”的约定及时进行查询。如果投资者未及时查询，或由于非产品管理人或非中国建设银行原因的系统故障以及其他不可抗力等因素的影响使得投资者无法及时了解产品信息，并由此影响投资者的投资决策，因此而产生的责任和风险由投资者自行承担。另外，投资者预留在产品管理人的有效联系方式发生变更，应及时通知产品管理人，如投资者未及时告知联系方式变更，产品管理人将可能在其认为需要时无法及时联系到投资者，并可能会由此影响投资者的投资决策，由此而产生的责任和风险由投资者自行承担。</w:t>
      </w:r>
    </w:p>
    <w:p w14:paraId="77A36AE9">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0.</w:t>
      </w:r>
      <w:r>
        <w:rPr>
          <w:rFonts w:hint="eastAsia" w:ascii="宋体" w:hAnsi="宋体"/>
          <w:b/>
          <w:szCs w:val="20"/>
        </w:rPr>
        <w:t>估值风险：</w:t>
      </w:r>
      <w:r>
        <w:rPr>
          <w:rFonts w:hint="eastAsia" w:ascii="宋体" w:hAnsi="宋体"/>
          <w:szCs w:val="20"/>
        </w:rPr>
        <w:t>本产品采用的估值方法有可能不能充分反映和揭示风险；或经济环境发生重大变化时，在一定时期内可能高估或低估本产品资产净值；理财产品的估值与实际变现价值可能发生偏离。产品管理人估值仅作为参考，产品管理人不承担第三方再次使用估值引发的其他风险</w:t>
      </w:r>
    </w:p>
    <w:p w14:paraId="11E12A3A">
      <w:pPr>
        <w:pStyle w:val="5"/>
        <w:tabs>
          <w:tab w:val="left" w:pos="720"/>
        </w:tabs>
        <w:spacing w:after="93" w:afterLines="30"/>
        <w:ind w:left="0" w:leftChars="0" w:firstLine="402" w:firstLineChars="200"/>
        <w:rPr>
          <w:rFonts w:ascii="宋体" w:hAnsi="宋体"/>
          <w:b/>
        </w:rPr>
      </w:pPr>
      <w:r>
        <w:rPr>
          <w:rFonts w:ascii="宋体" w:hAnsi="宋体"/>
          <w:b/>
          <w:szCs w:val="20"/>
        </w:rPr>
        <w:t>11</w:t>
      </w:r>
      <w:r>
        <w:rPr>
          <w:rFonts w:hint="eastAsia" w:ascii="宋体" w:hAnsi="宋体"/>
          <w:b/>
          <w:szCs w:val="20"/>
        </w:rPr>
        <w:t>.产品不成立风险：如本产品募集期届满，出现认购总份额未达到产品规模下限，或者出现相关法律法规或监管规定或政策发生变化，或者出现可能影响产品正常成立或运作的其他情况，或者产品管理人根据实际情况合理判断不适宜产品成立或运作的，</w:t>
      </w:r>
      <w:r>
        <w:rPr>
          <w:rFonts w:hint="eastAsia" w:ascii="宋体" w:hAnsi="宋体"/>
          <w:b/>
        </w:rPr>
        <w:t>产品管理人有权利但无义务决定本产品不成立，投资者面临再投资的风险。</w:t>
      </w:r>
    </w:p>
    <w:p w14:paraId="37A3DDD4">
      <w:pPr>
        <w:spacing w:after="93" w:afterLines="30"/>
        <w:ind w:firstLine="402" w:firstLineChars="200"/>
        <w:rPr>
          <w:rFonts w:ascii="宋体" w:hAnsi="宋体"/>
          <w:b/>
          <w:sz w:val="20"/>
        </w:rPr>
      </w:pPr>
      <w:r>
        <w:rPr>
          <w:rFonts w:ascii="宋体" w:hAnsi="宋体"/>
          <w:b/>
          <w:sz w:val="20"/>
          <w:szCs w:val="20"/>
        </w:rPr>
        <w:t>12</w:t>
      </w:r>
      <w:r>
        <w:rPr>
          <w:rFonts w:hint="eastAsia" w:ascii="宋体" w:hAnsi="宋体"/>
          <w:b/>
          <w:sz w:val="20"/>
          <w:szCs w:val="20"/>
        </w:rPr>
        <w:t>.提前终止风险：</w:t>
      </w:r>
      <w:r>
        <w:rPr>
          <w:rFonts w:ascii="宋体" w:hAnsi="宋体"/>
          <w:b/>
          <w:sz w:val="20"/>
          <w:szCs w:val="20"/>
        </w:rPr>
        <w:t>产品存续期内</w:t>
      </w:r>
      <w:r>
        <w:rPr>
          <w:rFonts w:hint="eastAsia" w:ascii="宋体" w:hAnsi="宋体"/>
          <w:b/>
          <w:sz w:val="20"/>
          <w:szCs w:val="20"/>
        </w:rPr>
        <w:t>，</w:t>
      </w:r>
      <w:r>
        <w:rPr>
          <w:rFonts w:ascii="宋体" w:hAnsi="宋体"/>
          <w:b/>
          <w:sz w:val="20"/>
          <w:szCs w:val="20"/>
        </w:rPr>
        <w:t>若</w:t>
      </w:r>
      <w:r>
        <w:rPr>
          <w:rFonts w:hint="eastAsia" w:ascii="宋体" w:hAnsi="宋体"/>
          <w:b/>
          <w:sz w:val="20"/>
          <w:szCs w:val="20"/>
        </w:rPr>
        <w:t>发生产品说明书约定的情形，</w:t>
      </w:r>
      <w:r>
        <w:rPr>
          <w:rFonts w:ascii="宋体" w:hAnsi="宋体"/>
          <w:b/>
          <w:sz w:val="20"/>
          <w:szCs w:val="20"/>
        </w:rPr>
        <w:t>产品管理人</w:t>
      </w:r>
      <w:r>
        <w:rPr>
          <w:rFonts w:hint="eastAsia" w:ascii="宋体" w:hAnsi="宋体"/>
          <w:b/>
          <w:sz w:val="20"/>
          <w:szCs w:val="20"/>
        </w:rPr>
        <w:t>决定</w:t>
      </w:r>
      <w:r>
        <w:rPr>
          <w:rFonts w:ascii="宋体" w:hAnsi="宋体"/>
          <w:b/>
          <w:sz w:val="20"/>
          <w:szCs w:val="20"/>
        </w:rPr>
        <w:t>提前终止本产品的，</w:t>
      </w:r>
      <w:r>
        <w:rPr>
          <w:rFonts w:hint="eastAsia" w:ascii="宋体" w:hAnsi="宋体"/>
          <w:b/>
          <w:sz w:val="20"/>
          <w:szCs w:val="20"/>
        </w:rPr>
        <w:t>本产品存在提前终止的风险</w:t>
      </w:r>
      <w:r>
        <w:rPr>
          <w:rFonts w:ascii="宋体" w:hAnsi="宋体"/>
          <w:b/>
          <w:sz w:val="20"/>
          <w:szCs w:val="20"/>
        </w:rPr>
        <w:t>。</w:t>
      </w:r>
      <w:r>
        <w:rPr>
          <w:rFonts w:hint="eastAsia" w:ascii="宋体" w:hAnsi="宋体"/>
          <w:b/>
          <w:sz w:val="20"/>
        </w:rPr>
        <w:t>若产品提前终止，投资者面临不能按预定期限进行投资，需要自行再投资的风险。</w:t>
      </w:r>
      <w:r>
        <w:rPr>
          <w:rFonts w:ascii="宋体" w:hAnsi="宋体"/>
          <w:b/>
          <w:sz w:val="20"/>
        </w:rPr>
        <w:t xml:space="preserve"> </w:t>
      </w:r>
    </w:p>
    <w:p w14:paraId="17B61C04">
      <w:pPr>
        <w:pStyle w:val="5"/>
        <w:tabs>
          <w:tab w:val="left" w:pos="720"/>
        </w:tabs>
        <w:spacing w:after="93" w:afterLines="30"/>
        <w:ind w:left="0" w:leftChars="0" w:firstLine="402" w:firstLineChars="200"/>
        <w:rPr>
          <w:rFonts w:ascii="宋体" w:hAnsi="宋体"/>
          <w:b/>
        </w:rPr>
      </w:pPr>
      <w:r>
        <w:rPr>
          <w:rFonts w:hint="eastAsia" w:ascii="宋体" w:hAnsi="宋体"/>
          <w:b/>
          <w:szCs w:val="20"/>
        </w:rPr>
        <w:t>1</w:t>
      </w:r>
      <w:r>
        <w:rPr>
          <w:rFonts w:ascii="宋体" w:hAnsi="宋体"/>
          <w:b/>
          <w:szCs w:val="20"/>
        </w:rPr>
        <w:t>3</w:t>
      </w:r>
      <w:r>
        <w:rPr>
          <w:rFonts w:hint="eastAsia" w:ascii="宋体" w:hAnsi="宋体"/>
          <w:b/>
          <w:szCs w:val="20"/>
        </w:rPr>
        <w:t>.延期终止</w:t>
      </w:r>
      <w:r>
        <w:rPr>
          <w:rFonts w:ascii="宋体" w:hAnsi="宋体"/>
          <w:b/>
          <w:szCs w:val="20"/>
        </w:rPr>
        <w:t>风险：产品存续期内</w:t>
      </w:r>
      <w:r>
        <w:rPr>
          <w:rFonts w:hint="eastAsia" w:ascii="宋体" w:hAnsi="宋体"/>
          <w:b/>
          <w:szCs w:val="20"/>
        </w:rPr>
        <w:t>，</w:t>
      </w:r>
      <w:r>
        <w:rPr>
          <w:rFonts w:ascii="宋体" w:hAnsi="宋体"/>
          <w:b/>
          <w:szCs w:val="20"/>
        </w:rPr>
        <w:t>若</w:t>
      </w:r>
      <w:r>
        <w:rPr>
          <w:rFonts w:hint="eastAsia" w:ascii="宋体" w:hAnsi="宋体"/>
          <w:b/>
          <w:szCs w:val="20"/>
        </w:rPr>
        <w:t>发生产品说明书约定的情形，</w:t>
      </w:r>
      <w:r>
        <w:rPr>
          <w:rFonts w:ascii="宋体" w:hAnsi="宋体"/>
          <w:b/>
          <w:szCs w:val="20"/>
        </w:rPr>
        <w:t>产品管理人</w:t>
      </w:r>
      <w:r>
        <w:rPr>
          <w:rFonts w:hint="eastAsia" w:ascii="宋体" w:hAnsi="宋体"/>
          <w:b/>
          <w:szCs w:val="20"/>
        </w:rPr>
        <w:t>决定延期终止</w:t>
      </w:r>
      <w:r>
        <w:rPr>
          <w:rFonts w:ascii="宋体" w:hAnsi="宋体"/>
          <w:b/>
          <w:szCs w:val="20"/>
        </w:rPr>
        <w:t>本产品的，</w:t>
      </w:r>
      <w:r>
        <w:rPr>
          <w:rFonts w:hint="eastAsia" w:ascii="宋体" w:hAnsi="宋体"/>
          <w:b/>
          <w:szCs w:val="20"/>
        </w:rPr>
        <w:t>本产品存在延期终止的风险</w:t>
      </w:r>
      <w:r>
        <w:rPr>
          <w:rFonts w:ascii="宋体" w:hAnsi="宋体"/>
          <w:b/>
          <w:szCs w:val="20"/>
        </w:rPr>
        <w:t>。</w:t>
      </w:r>
      <w:r>
        <w:rPr>
          <w:rFonts w:hint="eastAsia" w:ascii="宋体" w:hAnsi="宋体"/>
          <w:b/>
        </w:rPr>
        <w:t>在产品延期情形下，投资者面临不能按预定期限取得本金及收益的风险。</w:t>
      </w:r>
    </w:p>
    <w:p w14:paraId="11DFACAF">
      <w:pPr>
        <w:pStyle w:val="5"/>
        <w:tabs>
          <w:tab w:val="left" w:pos="720"/>
        </w:tabs>
        <w:spacing w:after="93" w:afterLines="30"/>
        <w:ind w:left="0" w:leftChars="0" w:firstLine="400" w:firstLineChars="200"/>
        <w:rPr>
          <w:rFonts w:hint="eastAsia" w:ascii="宋体" w:hAnsi="宋体" w:eastAsia="宋体"/>
          <w:szCs w:val="20"/>
          <w:lang w:eastAsia="zh-CN"/>
        </w:rPr>
      </w:pPr>
      <w:r>
        <w:rPr>
          <w:rFonts w:ascii="宋体" w:hAnsi="宋体"/>
          <w:szCs w:val="20"/>
        </w:rPr>
        <w:t>14</w:t>
      </w:r>
      <w:r>
        <w:rPr>
          <w:rFonts w:hint="eastAsia" w:ascii="宋体" w:hAnsi="宋体"/>
          <w:szCs w:val="20"/>
        </w:rPr>
        <w:t>.</w:t>
      </w:r>
      <w:r>
        <w:rPr>
          <w:rFonts w:hint="eastAsia" w:ascii="宋体" w:hAnsi="宋体"/>
          <w:b/>
          <w:szCs w:val="20"/>
        </w:rPr>
        <w:t>不可抗力及意外事件风险</w:t>
      </w:r>
      <w:r>
        <w:rPr>
          <w:rFonts w:hint="eastAsia" w:ascii="宋体" w:hAnsi="宋体"/>
          <w:szCs w:val="20"/>
        </w:rPr>
        <w:t>：</w:t>
      </w:r>
      <w:r>
        <w:rPr>
          <w:rFonts w:ascii="宋体" w:hAnsi="宋体"/>
          <w:szCs w:val="20"/>
        </w:rPr>
        <w:t>包括但不限于自然灾害、战争或国家政策变化等不能预见、不能避免、不能克服的不可抗力事件或</w:t>
      </w:r>
      <w:r>
        <w:rPr>
          <w:rFonts w:hint="eastAsia" w:ascii="宋体" w:hAnsi="宋体"/>
          <w:szCs w:val="20"/>
        </w:rPr>
        <w:t>非产品管理人或非中国建设银行原因的</w:t>
      </w:r>
      <w:r>
        <w:rPr>
          <w:rFonts w:ascii="宋体" w:hAnsi="宋体"/>
          <w:szCs w:val="20"/>
        </w:rPr>
        <w:t>系统故障、投资市场停止交易等意外事件的发生，可能对产品的成立、投资运作、资金返还、信息披露、公告通知等造成影响，甚至可能导致产品收益</w:t>
      </w:r>
      <w:r>
        <w:rPr>
          <w:rFonts w:hint="eastAsia" w:ascii="宋体" w:hAnsi="宋体"/>
          <w:szCs w:val="20"/>
        </w:rPr>
        <w:t>较低</w:t>
      </w:r>
      <w:r>
        <w:rPr>
          <w:rFonts w:ascii="宋体" w:hAnsi="宋体"/>
          <w:szCs w:val="20"/>
        </w:rPr>
        <w:t>乃至产品本金损失。对于由于不可抗力及意外事件风险导致的</w:t>
      </w:r>
      <w:r>
        <w:rPr>
          <w:rFonts w:hint="eastAsia" w:ascii="宋体" w:hAnsi="宋体"/>
          <w:szCs w:val="20"/>
        </w:rPr>
        <w:t>相应</w:t>
      </w:r>
      <w:r>
        <w:rPr>
          <w:rFonts w:ascii="宋体" w:hAnsi="宋体"/>
          <w:szCs w:val="20"/>
        </w:rPr>
        <w:t>损失，投资者须自行承担</w:t>
      </w:r>
      <w:r>
        <w:rPr>
          <w:rFonts w:hint="eastAsia" w:ascii="宋体" w:hAnsi="宋体"/>
          <w:szCs w:val="20"/>
          <w:lang w:eastAsia="zh-CN"/>
        </w:rPr>
        <w:t>，产品管理人对此不承担任何责任。</w:t>
      </w:r>
    </w:p>
    <w:p w14:paraId="10D44BFE">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5</w:t>
      </w:r>
      <w:r>
        <w:rPr>
          <w:rFonts w:hint="eastAsia" w:ascii="宋体" w:hAnsi="宋体"/>
          <w:szCs w:val="20"/>
        </w:rPr>
        <w:t>.</w:t>
      </w:r>
      <w:r>
        <w:rPr>
          <w:rFonts w:hint="eastAsia" w:ascii="宋体" w:hAnsi="宋体"/>
          <w:b/>
          <w:szCs w:val="20"/>
        </w:rPr>
        <w:t>税收风险</w:t>
      </w:r>
      <w:r>
        <w:rPr>
          <w:rFonts w:hint="eastAsia" w:ascii="宋体" w:hAnsi="宋体"/>
          <w:szCs w:val="20"/>
        </w:rPr>
        <w:t>：</w:t>
      </w:r>
      <w:r>
        <w:rPr>
          <w:rFonts w:ascii="宋体" w:hAnsi="宋体"/>
          <w:szCs w:val="20"/>
        </w:rPr>
        <w:t xml:space="preserve">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 </w:t>
      </w:r>
    </w:p>
    <w:p w14:paraId="1E0DD73B">
      <w:pPr>
        <w:pStyle w:val="5"/>
        <w:tabs>
          <w:tab w:val="left" w:pos="720"/>
        </w:tabs>
        <w:spacing w:after="93" w:afterLines="30"/>
        <w:ind w:left="0" w:leftChars="0" w:firstLine="402" w:firstLineChars="200"/>
        <w:rPr>
          <w:rFonts w:ascii="宋体" w:hAnsi="宋体"/>
          <w:b/>
          <w:bCs/>
          <w:iCs/>
          <w:szCs w:val="20"/>
        </w:rPr>
      </w:pPr>
      <w:r>
        <w:rPr>
          <w:rFonts w:hint="eastAsia" w:ascii="宋体" w:hAnsi="宋体"/>
          <w:b/>
          <w:bCs/>
          <w:iCs/>
          <w:szCs w:val="20"/>
        </w:rPr>
        <w:t>本风险揭示书所揭示风险皆为列举性质，未能详尽列明投资者参与本产品所面临的全部风险和可能导致投资者资产损失的所有因素，请投资者充分评估投资风险。</w:t>
      </w:r>
    </w:p>
    <w:p w14:paraId="62C12C09">
      <w:pPr>
        <w:pStyle w:val="5"/>
        <w:tabs>
          <w:tab w:val="left" w:pos="720"/>
        </w:tabs>
        <w:spacing w:after="93" w:afterLines="30"/>
        <w:ind w:left="0" w:leftChars="0" w:firstLine="400" w:firstLineChars="200"/>
        <w:rPr>
          <w:rFonts w:ascii="宋体" w:hAnsi="宋体"/>
          <w:bCs/>
          <w:iCs/>
          <w:szCs w:val="20"/>
        </w:rPr>
      </w:pPr>
      <w:r>
        <w:rPr>
          <w:rFonts w:hint="eastAsia" w:ascii="宋体" w:hAnsi="宋体"/>
          <w:bCs/>
          <w:iCs/>
          <w:szCs w:val="20"/>
        </w:rPr>
        <w:t>在投资者签署代销协议书前，应当仔细阅读投资者权益须知、本产品投资协议书、本产品风险揭示书及本产品的产品说明书的全部内容，同时向产品管理人了解本产品的其他相关信息，并自己独立做出是否购买本产品的决定。</w:t>
      </w:r>
    </w:p>
    <w:p w14:paraId="725292A0">
      <w:pPr>
        <w:spacing w:after="93" w:afterLines="30"/>
        <w:ind w:firstLine="402" w:firstLineChars="200"/>
        <w:rPr>
          <w:rFonts w:ascii="宋体" w:hAnsi="宋体"/>
          <w:bCs/>
          <w:iCs/>
          <w:sz w:val="20"/>
          <w:szCs w:val="20"/>
        </w:rPr>
      </w:pPr>
      <w:r>
        <w:rPr>
          <w:rFonts w:hint="eastAsia" w:ascii="宋体" w:hAnsi="宋体"/>
          <w:b/>
          <w:bCs/>
          <w:iCs/>
          <w:sz w:val="20"/>
          <w:szCs w:val="20"/>
        </w:rPr>
        <w:t>投资者签署本风险揭示书、</w:t>
      </w:r>
      <w:r>
        <w:rPr>
          <w:rFonts w:hint="eastAsia" w:ascii="宋体" w:hAnsi="宋体"/>
          <w:b/>
          <w:sz w:val="20"/>
        </w:rPr>
        <w:t>代销协议书</w:t>
      </w:r>
      <w:r>
        <w:rPr>
          <w:rFonts w:hint="eastAsia" w:ascii="宋体" w:hAnsi="宋体"/>
          <w:b/>
          <w:bCs/>
          <w:iCs/>
          <w:sz w:val="20"/>
          <w:szCs w:val="20"/>
        </w:rPr>
        <w:t>、产品投资协议书，并将资金委托给产品管理人运作是投资者真实的意思表示，投资者已知悉并理解本产品的全部风险</w:t>
      </w:r>
      <w:r>
        <w:rPr>
          <w:rFonts w:hint="eastAsia" w:ascii="宋体" w:hAnsi="宋体"/>
          <w:b/>
          <w:bCs/>
          <w:iCs/>
          <w:sz w:val="20"/>
          <w:szCs w:val="20"/>
          <w:lang w:eastAsia="zh-CN"/>
        </w:rPr>
        <w:t>，并自愿承担由此带来的一切后果。</w:t>
      </w:r>
      <w:r>
        <w:rPr>
          <w:rFonts w:hint="eastAsia" w:ascii="宋体" w:hAnsi="宋体"/>
          <w:bCs/>
          <w:iCs/>
          <w:sz w:val="20"/>
          <w:szCs w:val="20"/>
        </w:rPr>
        <w:t>本风险揭示书及相应的</w:t>
      </w:r>
      <w:r>
        <w:rPr>
          <w:rFonts w:hint="eastAsia" w:ascii="宋体" w:hAnsi="宋体"/>
          <w:sz w:val="20"/>
        </w:rPr>
        <w:t>代销协议书</w:t>
      </w:r>
      <w:r>
        <w:rPr>
          <w:rFonts w:hint="eastAsia" w:ascii="宋体" w:hAnsi="宋体"/>
          <w:bCs/>
          <w:iCs/>
          <w:sz w:val="20"/>
          <w:szCs w:val="20"/>
        </w:rPr>
        <w:t>、本产品投资协议书、产品说明书、投资者权益须知将共同构成贵我双方理财合同的有效组成部分。</w:t>
      </w:r>
    </w:p>
    <w:p w14:paraId="017425E7">
      <w:pPr>
        <w:spacing w:after="93" w:afterLines="30"/>
        <w:ind w:firstLine="400" w:firstLineChars="200"/>
        <w:rPr>
          <w:rFonts w:ascii="宋体" w:hAnsi="宋体"/>
          <w:bCs/>
          <w:iCs/>
          <w:sz w:val="20"/>
          <w:szCs w:val="20"/>
          <w:highlight w:val="yellow"/>
        </w:rPr>
      </w:pPr>
      <w:r>
        <w:rPr>
          <w:rFonts w:hint="eastAsia" w:ascii="宋体" w:hAnsi="宋体"/>
          <w:bCs/>
          <w:iCs/>
          <w:sz w:val="20"/>
          <w:szCs w:val="20"/>
          <w:highlight w:val="none"/>
        </w:rPr>
        <w:t>本风险揭示书不构成产品管理人因故意或重大过失对投资者造成损失的免责声明。</w:t>
      </w:r>
    </w:p>
    <w:p w14:paraId="262F79CA">
      <w:pPr>
        <w:spacing w:after="93" w:afterLines="30"/>
        <w:ind w:firstLine="402" w:firstLineChars="200"/>
        <w:rPr>
          <w:rFonts w:ascii="宋体" w:hAnsi="宋体"/>
          <w:bCs/>
          <w:iCs/>
          <w:sz w:val="20"/>
          <w:szCs w:val="20"/>
        </w:rPr>
      </w:pPr>
      <w:r>
        <w:rPr>
          <w:rFonts w:hint="eastAsia" w:ascii="宋体" w:hAnsi="宋体"/>
          <w:b/>
          <w:bCs/>
          <w:iCs/>
          <w:sz w:val="20"/>
          <w:szCs w:val="20"/>
        </w:rPr>
        <w:t>特别提示</w:t>
      </w:r>
      <w:r>
        <w:rPr>
          <w:rFonts w:ascii="宋体" w:hAnsi="宋体"/>
          <w:b/>
          <w:bCs/>
          <w:iCs/>
          <w:sz w:val="20"/>
          <w:szCs w:val="20"/>
        </w:rPr>
        <w:t>：</w:t>
      </w:r>
      <w:r>
        <w:rPr>
          <w:rFonts w:hint="eastAsia" w:ascii="宋体" w:hAnsi="宋体"/>
          <w:b/>
          <w:bCs/>
          <w:iCs/>
          <w:sz w:val="20"/>
          <w:szCs w:val="20"/>
        </w:rPr>
        <w:t>产品管理人有权按照法律法规和监管要求，从中国建设</w:t>
      </w:r>
      <w:r>
        <w:rPr>
          <w:rFonts w:ascii="宋体" w:hAnsi="宋体"/>
          <w:b/>
          <w:bCs/>
          <w:iCs/>
          <w:sz w:val="20"/>
          <w:szCs w:val="20"/>
        </w:rPr>
        <w:t>银行</w:t>
      </w:r>
      <w:r>
        <w:rPr>
          <w:rFonts w:hint="eastAsia" w:ascii="宋体" w:hAnsi="宋体"/>
          <w:b/>
          <w:bCs/>
          <w:iCs/>
          <w:sz w:val="20"/>
          <w:szCs w:val="20"/>
        </w:rPr>
        <w:t>获知投资者身份信息并报送投资者身份信息及其持有理财产品信息。中国</w:t>
      </w:r>
      <w:r>
        <w:rPr>
          <w:rFonts w:ascii="宋体" w:hAnsi="宋体"/>
          <w:b/>
          <w:bCs/>
          <w:iCs/>
          <w:sz w:val="20"/>
          <w:szCs w:val="20"/>
        </w:rPr>
        <w:t>建设银行</w:t>
      </w:r>
      <w:r>
        <w:rPr>
          <w:rFonts w:hint="eastAsia" w:ascii="宋体" w:hAnsi="宋体"/>
          <w:b/>
          <w:bCs/>
          <w:iCs/>
          <w:sz w:val="20"/>
          <w:szCs w:val="20"/>
        </w:rPr>
        <w:t>作为代销机构，会在产品管理人需要时向其提供投资者身份识别的必要信息。对于机构投资者，投资者身份基本信息包括投资者的名称、住所、经营范围、组织机构代码、税务登记证号码；可证明该投资者依法设立或者可依法开展经营、社会活动的执照、证件或者文件的名称、号码和有效期限；控股股东或者实际控制人、法定代表人、负责人、受益所有人和授权办理业务人员的姓名、身份证件或者身份证明文件的种类、号码、有效期限、受益所有人地址、判定受益所有人方式、持股数量或表决权占比、身份证明文件和其他相关资料的复印件或影印件。投资者签署本风险揭示书即表示同意并配合提供前述信息。</w:t>
      </w:r>
    </w:p>
    <w:p w14:paraId="596F9874">
      <w:pPr>
        <w:spacing w:after="93" w:afterLines="30"/>
        <w:ind w:firstLine="400" w:firstLineChars="200"/>
        <w:rPr>
          <w:rFonts w:ascii="宋体" w:hAnsi="宋体"/>
          <w:bCs/>
          <w:iCs/>
          <w:sz w:val="20"/>
          <w:szCs w:val="20"/>
        </w:rPr>
      </w:pPr>
    </w:p>
    <w:p w14:paraId="2E0C6BC2">
      <w:pPr>
        <w:spacing w:after="93" w:afterLines="30"/>
        <w:ind w:firstLine="402" w:firstLineChars="200"/>
        <w:jc w:val="right"/>
        <w:rPr>
          <w:rFonts w:ascii="宋体" w:hAnsi="宋体"/>
          <w:b/>
          <w:bCs/>
          <w:iCs/>
          <w:sz w:val="20"/>
          <w:szCs w:val="20"/>
        </w:rPr>
      </w:pPr>
      <w:r>
        <w:rPr>
          <w:rFonts w:hint="eastAsia" w:ascii="宋体" w:hAnsi="宋体"/>
          <w:b/>
          <w:bCs/>
          <w:iCs/>
          <w:sz w:val="20"/>
          <w:szCs w:val="20"/>
        </w:rPr>
        <w:t>风险揭示方：建信理财有限责任公司</w:t>
      </w:r>
    </w:p>
    <w:p w14:paraId="6F591285">
      <w:pPr>
        <w:spacing w:after="93" w:afterLines="30"/>
        <w:ind w:left="420" w:leftChars="200"/>
        <w:jc w:val="left"/>
        <w:rPr>
          <w:rFonts w:ascii="宋体" w:hAnsi="宋体"/>
          <w:szCs w:val="21"/>
        </w:rPr>
      </w:pPr>
      <w:r>
        <w:rPr>
          <w:rFonts w:hint="eastAsia" w:ascii="宋体" w:hAnsi="宋体"/>
          <w:bCs/>
          <w:iCs/>
          <w:sz w:val="20"/>
          <w:szCs w:val="20"/>
        </w:rPr>
        <w:t>(投资者签字与盖章见下一页)</w:t>
      </w:r>
      <w:r>
        <w:rPr>
          <w:rFonts w:ascii="宋体" w:hAnsi="宋体"/>
          <w:bCs/>
          <w:iCs/>
          <w:sz w:val="20"/>
          <w:szCs w:val="20"/>
        </w:rPr>
        <w:br w:type="page"/>
      </w:r>
    </w:p>
    <w:p w14:paraId="484AF36C">
      <w:pPr>
        <w:pStyle w:val="5"/>
        <w:tabs>
          <w:tab w:val="left" w:pos="720"/>
        </w:tabs>
        <w:spacing w:after="93" w:afterLines="30"/>
        <w:ind w:left="0" w:leftChars="0" w:firstLine="420" w:firstLineChars="200"/>
        <w:rPr>
          <w:rFonts w:ascii="宋体" w:hAnsi="宋体"/>
          <w:sz w:val="21"/>
        </w:rPr>
      </w:pPr>
      <w:r>
        <w:rPr>
          <w:rFonts w:hint="eastAsia" w:ascii="宋体" w:hAnsi="宋体"/>
          <w:sz w:val="21"/>
        </w:rPr>
        <w:t>机构投资者请在下面签章：</w:t>
      </w:r>
    </w:p>
    <w:p w14:paraId="4590C1E0">
      <w:pPr>
        <w:widowControl/>
        <w:spacing w:after="93" w:afterLines="30"/>
        <w:jc w:val="left"/>
        <w:rPr>
          <w:rFonts w:ascii="宋体" w:hAnsi="宋体" w:cs="宋体"/>
          <w:szCs w:val="21"/>
        </w:rPr>
      </w:pPr>
    </w:p>
    <w:p w14:paraId="0BDA9DFC">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b/>
        </w:rPr>
      </w:pPr>
      <w:r>
        <w:rPr>
          <w:rFonts w:hint="eastAsia" w:ascii="宋体" w:hAnsi="宋体" w:cs="宋体"/>
          <w:szCs w:val="21"/>
        </w:rPr>
        <w:t>投资者声明：</w:t>
      </w:r>
      <w:r>
        <w:rPr>
          <w:rFonts w:hint="eastAsia" w:ascii="宋体" w:hAnsi="宋体"/>
          <w:b/>
        </w:rPr>
        <w:t>投资决策完全是由本单位独立、自主、谨慎做出的。</w:t>
      </w:r>
      <w:r>
        <w:rPr>
          <w:rFonts w:hint="eastAsia" w:ascii="宋体" w:hAnsi="宋体" w:cs="宋体"/>
          <w:b/>
          <w:szCs w:val="21"/>
        </w:rPr>
        <w:t>本单位已经阅读投资者权益须知、本产品风险揭示书、本产品说明书、本产品投资协议书及代销协议书所有条款（包括背面），充分理解并自愿承担本产品相关风险。</w:t>
      </w:r>
    </w:p>
    <w:p w14:paraId="7F7D1B8E">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rPr>
      </w:pPr>
    </w:p>
    <w:p w14:paraId="624693E6">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sz w:val="21"/>
        </w:rPr>
      </w:pPr>
      <w:r>
        <w:rPr>
          <w:rFonts w:hint="eastAsia" w:ascii="宋体" w:hAnsi="宋体"/>
          <w:sz w:val="21"/>
        </w:rPr>
        <w:t>机构投资者盖章（公章或合同专用章）</w:t>
      </w:r>
    </w:p>
    <w:p w14:paraId="0071110C">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sz w:val="21"/>
        </w:rPr>
      </w:pPr>
    </w:p>
    <w:p w14:paraId="29709C7A">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sz w:val="21"/>
        </w:rPr>
      </w:pPr>
    </w:p>
    <w:p w14:paraId="7BEAEC1D">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sz w:val="21"/>
        </w:rPr>
      </w:pPr>
      <w:r>
        <w:rPr>
          <w:rFonts w:hint="eastAsia" w:ascii="宋体" w:hAnsi="宋体"/>
          <w:sz w:val="21"/>
        </w:rPr>
        <w:t>法定代表人（签字或盖章）：</w:t>
      </w:r>
      <w:r>
        <w:rPr>
          <w:rFonts w:ascii="宋体" w:hAnsi="宋体"/>
          <w:sz w:val="21"/>
        </w:rPr>
        <w:t>__________________________________________</w:t>
      </w:r>
    </w:p>
    <w:p w14:paraId="5B2D4B24">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jc w:val="right"/>
        <w:rPr>
          <w:rFonts w:ascii="宋体" w:hAnsi="宋体"/>
          <w:sz w:val="21"/>
        </w:rPr>
      </w:pPr>
      <w:r>
        <w:rPr>
          <w:rFonts w:ascii="宋体" w:hAnsi="宋体"/>
          <w:sz w:val="21"/>
        </w:rPr>
        <w:t xml:space="preserve"> 年      月      日</w:t>
      </w:r>
    </w:p>
    <w:p w14:paraId="40B36301">
      <w:pPr>
        <w:widowControl/>
        <w:spacing w:after="93" w:afterLines="30"/>
        <w:jc w:val="left"/>
        <w:rPr>
          <w:rFonts w:ascii="宋体" w:hAnsi="宋体"/>
          <w:kern w:val="0"/>
        </w:rPr>
      </w:pPr>
    </w:p>
    <w:p w14:paraId="20ACE7D2">
      <w:pPr>
        <w:pStyle w:val="5"/>
        <w:tabs>
          <w:tab w:val="left" w:pos="720"/>
        </w:tabs>
        <w:spacing w:before="156" w:beforeLines="50" w:after="0"/>
        <w:ind w:left="0" w:leftChars="0"/>
        <w:jc w:val="center"/>
        <w:rPr>
          <w:szCs w:val="21"/>
        </w:rPr>
      </w:pPr>
      <w:r>
        <w:rPr>
          <w:rFonts w:ascii="宋体" w:hAnsi="宋体"/>
          <w:b/>
        </w:rPr>
        <w:br w:type="page"/>
      </w:r>
      <w:r>
        <w:rPr>
          <w:rFonts w:hint="eastAsia" w:ascii="宋体" w:hAnsi="宋体"/>
          <w:b/>
          <w:sz w:val="30"/>
          <w:szCs w:val="30"/>
        </w:rPr>
        <w:t>建信理财机构专享嘉鑫固收类封闭式产品2024年第190期说明书</w:t>
      </w:r>
    </w:p>
    <w:p w14:paraId="428E1462">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一、产品要素</w:t>
      </w:r>
    </w:p>
    <w:tbl>
      <w:tblPr>
        <w:tblStyle w:val="12"/>
        <w:tblW w:w="0" w:type="auto"/>
        <w:jc w:val="center"/>
        <w:tblLayout w:type="fixed"/>
        <w:tblCellMar>
          <w:top w:w="0" w:type="dxa"/>
          <w:left w:w="0" w:type="dxa"/>
          <w:bottom w:w="0" w:type="dxa"/>
          <w:right w:w="0" w:type="dxa"/>
        </w:tblCellMar>
      </w:tblPr>
      <w:tblGrid>
        <w:gridCol w:w="1917"/>
        <w:gridCol w:w="6237"/>
      </w:tblGrid>
      <w:tr w14:paraId="2FF1EEF3">
        <w:tblPrEx>
          <w:tblCellMar>
            <w:top w:w="0" w:type="dxa"/>
            <w:left w:w="0" w:type="dxa"/>
            <w:bottom w:w="0" w:type="dxa"/>
            <w:right w:w="0" w:type="dxa"/>
          </w:tblCellMar>
        </w:tblPrEx>
        <w:trPr>
          <w:cantSplit/>
          <w:trHeight w:val="454"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14:paraId="25AD36A4">
            <w:pPr>
              <w:adjustRightInd w:val="0"/>
              <w:snapToGrid w:val="0"/>
              <w:spacing w:after="93" w:afterLines="30"/>
              <w:jc w:val="center"/>
              <w:rPr>
                <w:rFonts w:ascii="宋体" w:hAnsi="宋体" w:cs="宋体"/>
                <w:sz w:val="20"/>
                <w:szCs w:val="20"/>
              </w:rPr>
            </w:pPr>
            <w:r>
              <w:rPr>
                <w:rFonts w:hint="eastAsia" w:ascii="宋体" w:hAnsi="宋体" w:cs="宋体"/>
                <w:sz w:val="20"/>
                <w:szCs w:val="20"/>
              </w:rPr>
              <w:t>产品编号</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14:paraId="5A457B1E">
            <w:pPr>
              <w:widowControl/>
              <w:spacing w:after="93" w:afterLines="30"/>
              <w:jc w:val="center"/>
              <w:rPr>
                <w:rFonts w:ascii="宋体" w:hAnsi="宋体" w:cs="宋体"/>
                <w:sz w:val="20"/>
                <w:szCs w:val="20"/>
              </w:rPr>
            </w:pPr>
            <w:r>
              <w:rPr>
                <w:rFonts w:hint="eastAsia" w:ascii="宋体" w:hAnsi="宋体" w:cs="宋体"/>
                <w:sz w:val="20"/>
                <w:szCs w:val="20"/>
              </w:rPr>
              <w:t>JXJXJGGS240924190</w:t>
            </w:r>
          </w:p>
        </w:tc>
      </w:tr>
      <w:tr w14:paraId="6397C47C">
        <w:tblPrEx>
          <w:tblCellMar>
            <w:top w:w="0" w:type="dxa"/>
            <w:left w:w="0" w:type="dxa"/>
            <w:bottom w:w="0" w:type="dxa"/>
            <w:right w:w="0" w:type="dxa"/>
          </w:tblCellMar>
        </w:tblPrEx>
        <w:trPr>
          <w:cantSplit/>
          <w:trHeight w:val="945"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14:paraId="3104FA75">
            <w:pPr>
              <w:adjustRightInd w:val="0"/>
              <w:snapToGrid w:val="0"/>
              <w:spacing w:after="93" w:afterLines="30"/>
              <w:jc w:val="center"/>
              <w:rPr>
                <w:rFonts w:ascii="宋体" w:hAnsi="宋体" w:cs="宋体"/>
                <w:sz w:val="20"/>
                <w:szCs w:val="20"/>
              </w:rPr>
            </w:pPr>
            <w:r>
              <w:rPr>
                <w:rFonts w:hint="eastAsia" w:ascii="宋体" w:hAnsi="宋体" w:cs="宋体"/>
                <w:sz w:val="20"/>
                <w:szCs w:val="20"/>
              </w:rPr>
              <w:t>全国银行业理财信息登记系统编码</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14:paraId="02460463">
            <w:pPr>
              <w:adjustRightInd w:val="0"/>
              <w:snapToGrid w:val="0"/>
              <w:spacing w:after="93" w:afterLines="30"/>
              <w:jc w:val="center"/>
              <w:rPr>
                <w:rFonts w:ascii="宋体" w:hAnsi="宋体" w:cs="宋体"/>
                <w:sz w:val="20"/>
                <w:szCs w:val="20"/>
              </w:rPr>
            </w:pPr>
            <w:r>
              <w:rPr>
                <w:rFonts w:hint="eastAsia" w:ascii="宋体" w:hAnsi="宋体" w:cs="宋体"/>
                <w:sz w:val="20"/>
                <w:szCs w:val="20"/>
              </w:rPr>
              <w:t>Z7000724A000311</w:t>
            </w:r>
          </w:p>
          <w:p w14:paraId="7E010ADD">
            <w:pPr>
              <w:adjustRightInd w:val="0"/>
              <w:snapToGrid w:val="0"/>
              <w:spacing w:after="93" w:afterLines="30"/>
              <w:ind w:firstLine="400" w:firstLineChars="200"/>
              <w:rPr>
                <w:rFonts w:ascii="宋体" w:hAnsi="宋体" w:cs="宋体"/>
                <w:b/>
                <w:sz w:val="20"/>
                <w:szCs w:val="20"/>
              </w:rPr>
            </w:pPr>
            <w:r>
              <w:rPr>
                <w:rFonts w:hint="eastAsia" w:ascii="宋体" w:hAnsi="宋体" w:cs="宋体"/>
                <w:sz w:val="20"/>
                <w:szCs w:val="20"/>
              </w:rPr>
              <w:t>投资者可依据该登记编码在中国理财网（www.chinawealth.com.cn）上查询产品信息。</w:t>
            </w:r>
          </w:p>
        </w:tc>
      </w:tr>
      <w:tr w14:paraId="39B3C567">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6338EDF">
            <w:pPr>
              <w:adjustRightInd w:val="0"/>
              <w:snapToGrid w:val="0"/>
              <w:spacing w:after="93" w:afterLines="30"/>
              <w:jc w:val="center"/>
              <w:rPr>
                <w:rFonts w:ascii="宋体" w:hAnsi="宋体" w:cs="宋体"/>
                <w:sz w:val="20"/>
                <w:szCs w:val="20"/>
              </w:rPr>
            </w:pPr>
            <w:r>
              <w:rPr>
                <w:rFonts w:hint="eastAsia" w:ascii="宋体" w:hAnsi="宋体" w:cs="宋体"/>
                <w:sz w:val="20"/>
                <w:szCs w:val="20"/>
              </w:rPr>
              <w:t>产品名称</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FE374E2">
            <w:pPr>
              <w:autoSpaceDE w:val="0"/>
              <w:autoSpaceDN w:val="0"/>
              <w:adjustRightInd w:val="0"/>
              <w:spacing w:after="93" w:afterLines="30"/>
              <w:jc w:val="center"/>
              <w:rPr>
                <w:rFonts w:ascii="宋体" w:hAnsi="宋体" w:cs="宋体"/>
                <w:b/>
                <w:sz w:val="20"/>
                <w:szCs w:val="20"/>
              </w:rPr>
            </w:pPr>
            <w:r>
              <w:rPr>
                <w:rFonts w:hint="eastAsia" w:ascii="宋体" w:hAnsi="宋体" w:cs="宋体"/>
                <w:sz w:val="20"/>
                <w:szCs w:val="20"/>
              </w:rPr>
              <w:t>建信理财机构专享嘉鑫固收类封闭式产品2024年第190期</w:t>
            </w:r>
          </w:p>
        </w:tc>
      </w:tr>
      <w:tr w14:paraId="14F80EDC">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2EA1C167">
            <w:pPr>
              <w:adjustRightInd w:val="0"/>
              <w:snapToGrid w:val="0"/>
              <w:spacing w:after="93" w:afterLines="30"/>
              <w:jc w:val="center"/>
              <w:rPr>
                <w:rFonts w:ascii="宋体" w:hAnsi="宋体" w:cs="宋体"/>
                <w:sz w:val="20"/>
                <w:szCs w:val="20"/>
              </w:rPr>
            </w:pPr>
            <w:r>
              <w:rPr>
                <w:rFonts w:hint="eastAsia" w:ascii="宋体" w:hAnsi="宋体" w:cs="宋体"/>
                <w:sz w:val="20"/>
                <w:szCs w:val="20"/>
              </w:rPr>
              <w:t>募集方式</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6E14321">
            <w:pPr>
              <w:adjustRightInd w:val="0"/>
              <w:snapToGrid w:val="0"/>
              <w:spacing w:after="93" w:afterLines="30"/>
              <w:jc w:val="center"/>
              <w:rPr>
                <w:rFonts w:ascii="宋体" w:hAnsi="宋体" w:cs="宋体"/>
                <w:sz w:val="20"/>
                <w:szCs w:val="20"/>
              </w:rPr>
            </w:pPr>
            <w:r>
              <w:rPr>
                <w:rFonts w:hint="eastAsia" w:ascii="宋体" w:hAnsi="宋体"/>
                <w:sz w:val="20"/>
              </w:rPr>
              <w:t>私募</w:t>
            </w:r>
          </w:p>
        </w:tc>
      </w:tr>
      <w:tr w14:paraId="73BEDF83">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7423CD7">
            <w:pPr>
              <w:adjustRightInd w:val="0"/>
              <w:snapToGrid w:val="0"/>
              <w:spacing w:after="93" w:afterLines="30"/>
              <w:jc w:val="center"/>
              <w:rPr>
                <w:rFonts w:ascii="宋体" w:hAnsi="宋体" w:cs="宋体"/>
                <w:sz w:val="20"/>
                <w:szCs w:val="20"/>
              </w:rPr>
            </w:pPr>
            <w:r>
              <w:rPr>
                <w:rFonts w:hint="eastAsia" w:ascii="宋体" w:hAnsi="宋体" w:cs="宋体"/>
                <w:sz w:val="20"/>
                <w:szCs w:val="20"/>
              </w:rPr>
              <w:t>产品类型</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69F6DDA4">
            <w:pPr>
              <w:adjustRightInd w:val="0"/>
              <w:snapToGrid w:val="0"/>
              <w:spacing w:after="93" w:afterLines="30"/>
              <w:jc w:val="center"/>
              <w:rPr>
                <w:rFonts w:ascii="宋体" w:hAnsi="宋体" w:cs="黑体"/>
                <w:b/>
                <w:sz w:val="20"/>
                <w:szCs w:val="20"/>
              </w:rPr>
            </w:pPr>
            <w:r>
              <w:rPr>
                <w:rFonts w:hint="eastAsia" w:ascii="宋体" w:hAnsi="宋体" w:cs="黑体"/>
                <w:b/>
                <w:sz w:val="20"/>
                <w:szCs w:val="20"/>
              </w:rPr>
              <w:t>固定收益类，非保本浮动收益型</w:t>
            </w:r>
          </w:p>
        </w:tc>
      </w:tr>
      <w:tr w14:paraId="1990A87F">
        <w:tblPrEx>
          <w:tblCellMar>
            <w:top w:w="0" w:type="dxa"/>
            <w:left w:w="0" w:type="dxa"/>
            <w:bottom w:w="0" w:type="dxa"/>
            <w:right w:w="0" w:type="dxa"/>
          </w:tblCellMar>
        </w:tblPrEx>
        <w:trPr>
          <w:cantSplit/>
          <w:trHeight w:val="1420"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70785CA3">
            <w:pPr>
              <w:adjustRightInd w:val="0"/>
              <w:snapToGrid w:val="0"/>
              <w:spacing w:after="93" w:afterLines="30"/>
              <w:jc w:val="center"/>
              <w:rPr>
                <w:rFonts w:ascii="宋体" w:hAnsi="宋体" w:cs="宋体"/>
                <w:sz w:val="20"/>
                <w:szCs w:val="20"/>
              </w:rPr>
            </w:pPr>
            <w:r>
              <w:rPr>
                <w:rFonts w:hint="eastAsia" w:ascii="宋体" w:hAnsi="宋体" w:cs="宋体"/>
                <w:sz w:val="20"/>
                <w:szCs w:val="20"/>
              </w:rPr>
              <w:t>产品内部风险评级</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06D04E4">
            <w:pPr>
              <w:adjustRightInd w:val="0"/>
              <w:snapToGrid w:val="0"/>
              <w:spacing w:after="93" w:afterLines="30"/>
              <w:jc w:val="center"/>
              <w:rPr>
                <w:rFonts w:ascii="宋体" w:hAnsi="宋体"/>
                <w:b/>
                <w:sz w:val="20"/>
                <w:szCs w:val="20"/>
              </w:rPr>
            </w:pPr>
            <w:r>
              <w:rPr>
                <w:rFonts w:hint="eastAsia" w:ascii="宋体" w:hAnsi="宋体"/>
                <w:b/>
                <w:sz w:val="20"/>
                <w:szCs w:val="20"/>
              </w:rPr>
              <w:t>R2较低风险</w:t>
            </w:r>
            <w:bookmarkStart w:id="1" w:name="test1"/>
            <w:bookmarkEnd w:id="1"/>
            <w:r>
              <w:rPr>
                <w:rFonts w:hint="eastAsia" w:ascii="宋体" w:hAnsi="宋体"/>
                <w:b/>
                <w:sz w:val="20"/>
                <w:szCs w:val="20"/>
              </w:rPr>
              <w:drawing>
                <wp:inline distT="0" distB="0" distL="0" distR="0">
                  <wp:extent cx="127000" cy="127000"/>
                  <wp:effectExtent l="0" t="0" r="6350" b="6350"/>
                  <wp:docPr id="33" name="Drawing 3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rawing 33" descr="1.png"/>
                          <pic:cNvPicPr>
                            <a:picLocks noChangeAspect="1"/>
                          </pic:cNvPicPr>
                        </pic:nvPicPr>
                        <pic:blipFill>
                          <a:blip r:embed="rId7"/>
                          <a:stretch>
                            <a:fillRect/>
                          </a:stretch>
                        </pic:blipFill>
                        <pic:spPr>
                          <a:xfrm>
                            <a:off x="0" y="0"/>
                            <a:ext cx="127000" cy="127000"/>
                          </a:xfrm>
                          <a:prstGeom prst="rect">
                            <a:avLst/>
                          </a:prstGeom>
                        </pic:spPr>
                      </pic:pic>
                    </a:graphicData>
                  </a:graphic>
                </wp:inline>
              </w:drawing>
            </w:r>
            <w:r>
              <w:rPr>
                <w:rFonts w:hint="eastAsia" w:ascii="宋体" w:hAnsi="宋体"/>
                <w:b/>
                <w:sz w:val="20"/>
                <w:szCs w:val="20"/>
              </w:rPr>
              <w:drawing>
                <wp:inline distT="0" distB="0" distL="0" distR="0">
                  <wp:extent cx="127000" cy="127000"/>
                  <wp:effectExtent l="0" t="0" r="6350" b="6350"/>
                  <wp:docPr id="34" name="Drawing 3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descr="2.png"/>
                          <pic:cNvPicPr>
                            <a:picLocks noChangeAspect="1"/>
                          </pic:cNvPicPr>
                        </pic:nvPicPr>
                        <pic:blipFill>
                          <a:blip r:embed="rId7"/>
                          <a:stretch>
                            <a:fillRect/>
                          </a:stretch>
                        </pic:blipFill>
                        <pic:spPr>
                          <a:xfrm>
                            <a:off x="0" y="0"/>
                            <a:ext cx="127000" cy="127000"/>
                          </a:xfrm>
                          <a:prstGeom prst="rect">
                            <a:avLst/>
                          </a:prstGeom>
                        </pic:spPr>
                      </pic:pic>
                    </a:graphicData>
                  </a:graphic>
                </wp:inline>
              </w:drawing>
            </w:r>
          </w:p>
          <w:p w14:paraId="3B79A419">
            <w:pPr>
              <w:adjustRightInd w:val="0"/>
              <w:snapToGrid w:val="0"/>
              <w:spacing w:after="93" w:afterLines="30"/>
              <w:ind w:firstLine="402" w:firstLineChars="200"/>
              <w:jc w:val="left"/>
              <w:rPr>
                <w:rFonts w:ascii="宋体" w:hAnsi="宋体" w:cs="宋体"/>
                <w:b/>
                <w:sz w:val="20"/>
                <w:szCs w:val="20"/>
              </w:rPr>
            </w:pPr>
            <w:r>
              <w:rPr>
                <w:rFonts w:hint="eastAsia" w:ascii="宋体" w:hAnsi="宋体" w:cs="宋体"/>
                <w:b/>
                <w:sz w:val="20"/>
                <w:szCs w:val="20"/>
              </w:rPr>
              <w:t>该产品通过代理销售机构渠道销售的，理财产品评级应当以代理销售机构最终披露的评级结果为准。</w:t>
            </w:r>
          </w:p>
        </w:tc>
      </w:tr>
      <w:tr w14:paraId="6B7E2D1B">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1D997BA2">
            <w:pPr>
              <w:adjustRightInd w:val="0"/>
              <w:snapToGrid w:val="0"/>
              <w:spacing w:after="93" w:afterLines="30"/>
              <w:jc w:val="center"/>
              <w:rPr>
                <w:rFonts w:ascii="宋体" w:hAnsi="宋体" w:cs="宋体"/>
                <w:sz w:val="20"/>
                <w:szCs w:val="20"/>
              </w:rPr>
            </w:pPr>
            <w:r>
              <w:rPr>
                <w:rFonts w:hint="eastAsia" w:ascii="宋体" w:hAnsi="宋体" w:cs="宋体"/>
                <w:sz w:val="20"/>
                <w:szCs w:val="20"/>
              </w:rPr>
              <w:t>适合投资者</w:t>
            </w:r>
          </w:p>
        </w:tc>
        <w:tc>
          <w:tcPr>
            <w:tcW w:w="6237"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tcPr>
          <w:p w14:paraId="17D2FE78">
            <w:pPr>
              <w:spacing w:after="93" w:afterLines="30"/>
              <w:ind w:right="189" w:rightChars="90"/>
              <w:jc w:val="center"/>
              <w:rPr>
                <w:rFonts w:ascii="宋体" w:hAnsi="宋体" w:cs="宋体"/>
                <w:b/>
                <w:sz w:val="20"/>
                <w:szCs w:val="20"/>
              </w:rPr>
            </w:pPr>
            <w:r>
              <w:rPr>
                <w:rFonts w:hint="eastAsia" w:ascii="宋体" w:hAnsi="宋体"/>
                <w:b/>
                <w:sz w:val="20"/>
                <w:szCs w:val="20"/>
              </w:rPr>
              <w:t>合格机构投资者</w:t>
            </w:r>
          </w:p>
        </w:tc>
      </w:tr>
      <w:tr w14:paraId="7B33EA2C">
        <w:tblPrEx>
          <w:tblCellMar>
            <w:top w:w="0" w:type="dxa"/>
            <w:left w:w="0" w:type="dxa"/>
            <w:bottom w:w="0" w:type="dxa"/>
            <w:right w:w="0" w:type="dxa"/>
          </w:tblCellMar>
        </w:tblPrEx>
        <w:trPr>
          <w:cantSplit/>
          <w:trHeight w:val="454" w:hRule="exac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4CB6CEA1">
            <w:pPr>
              <w:adjustRightInd w:val="0"/>
              <w:snapToGrid w:val="0"/>
              <w:spacing w:after="93" w:afterLines="30"/>
              <w:jc w:val="center"/>
              <w:rPr>
                <w:rFonts w:ascii="宋体" w:hAnsi="宋体" w:cs="宋体"/>
                <w:sz w:val="20"/>
                <w:szCs w:val="20"/>
              </w:rPr>
            </w:pPr>
            <w:r>
              <w:rPr>
                <w:rFonts w:hint="eastAsia" w:ascii="宋体" w:hAnsi="宋体" w:cs="宋体"/>
                <w:sz w:val="20"/>
                <w:szCs w:val="20"/>
              </w:rPr>
              <w:t>本金和收益币种</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56F34667">
            <w:pPr>
              <w:adjustRightInd w:val="0"/>
              <w:snapToGrid w:val="0"/>
              <w:spacing w:after="93" w:afterLines="30"/>
              <w:jc w:val="center"/>
              <w:rPr>
                <w:rFonts w:ascii="宋体" w:hAnsi="宋体" w:cs="宋体"/>
                <w:sz w:val="20"/>
                <w:szCs w:val="20"/>
              </w:rPr>
            </w:pPr>
            <w:r>
              <w:rPr>
                <w:rFonts w:hint="eastAsia" w:ascii="宋体" w:hAnsi="宋体" w:cs="宋体"/>
                <w:sz w:val="20"/>
                <w:szCs w:val="20"/>
              </w:rPr>
              <w:t>人民币</w:t>
            </w:r>
          </w:p>
        </w:tc>
      </w:tr>
      <w:tr w14:paraId="698DB16E">
        <w:tblPrEx>
          <w:tblCellMar>
            <w:top w:w="0" w:type="dxa"/>
            <w:left w:w="0" w:type="dxa"/>
            <w:bottom w:w="0" w:type="dxa"/>
            <w:right w:w="0" w:type="dxa"/>
          </w:tblCellMar>
        </w:tblPrEx>
        <w:trPr>
          <w:cantSplit/>
          <w:trHeight w:val="44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709FE755">
            <w:pPr>
              <w:adjustRightInd w:val="0"/>
              <w:snapToGrid w:val="0"/>
              <w:spacing w:after="93" w:afterLines="30"/>
              <w:jc w:val="center"/>
              <w:rPr>
                <w:rFonts w:ascii="宋体" w:hAnsi="宋体" w:cs="宋体"/>
                <w:sz w:val="20"/>
                <w:szCs w:val="20"/>
              </w:rPr>
            </w:pPr>
            <w:r>
              <w:rPr>
                <w:rFonts w:hint="eastAsia" w:ascii="宋体" w:hAnsi="宋体" w:cs="宋体"/>
                <w:sz w:val="20"/>
                <w:szCs w:val="20"/>
              </w:rPr>
              <w:t>产品规模</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2685278">
            <w:pPr>
              <w:adjustRightInd w:val="0"/>
              <w:snapToGrid w:val="0"/>
              <w:spacing w:after="93" w:afterLines="30"/>
              <w:jc w:val="center"/>
              <w:rPr>
                <w:rFonts w:ascii="宋体" w:hAnsi="宋体" w:cs="宋体"/>
                <w:sz w:val="20"/>
                <w:szCs w:val="20"/>
              </w:rPr>
            </w:pPr>
            <w:r>
              <w:rPr>
                <w:rFonts w:hint="eastAsia" w:ascii="宋体" w:hAnsi="宋体" w:cs="宋体"/>
                <w:sz w:val="20"/>
                <w:szCs w:val="20"/>
              </w:rPr>
              <w:t>产品募集上限为2</w:t>
            </w:r>
            <w:r>
              <w:rPr>
                <w:rFonts w:ascii="宋体" w:hAnsi="宋体" w:cs="宋体"/>
                <w:sz w:val="20"/>
                <w:szCs w:val="20"/>
              </w:rPr>
              <w:t>亿</w:t>
            </w:r>
            <w:r>
              <w:rPr>
                <w:rFonts w:hint="eastAsia" w:ascii="宋体" w:hAnsi="宋体" w:cs="宋体"/>
                <w:sz w:val="20"/>
                <w:szCs w:val="20"/>
              </w:rPr>
              <w:t>份，下限为1000万份</w:t>
            </w:r>
          </w:p>
          <w:p w14:paraId="3292B1F0">
            <w:pPr>
              <w:adjustRightInd w:val="0"/>
              <w:snapToGrid w:val="0"/>
              <w:spacing w:after="93" w:afterLines="30"/>
              <w:ind w:firstLine="402" w:firstLineChars="200"/>
              <w:jc w:val="left"/>
              <w:rPr>
                <w:rFonts w:ascii="宋体" w:hAnsi="宋体" w:cs="宋体"/>
                <w:b/>
                <w:sz w:val="20"/>
                <w:szCs w:val="20"/>
              </w:rPr>
            </w:pPr>
            <w:r>
              <w:rPr>
                <w:rFonts w:hint="eastAsia" w:ascii="宋体" w:hAnsi="宋体" w:cs="宋体"/>
                <w:b/>
                <w:sz w:val="20"/>
                <w:szCs w:val="20"/>
              </w:rPr>
              <w:t>若认购总额达到本产品规模上限，产品管理人有权利但无义务暂停或停止本产品的认购。</w:t>
            </w:r>
          </w:p>
          <w:p w14:paraId="4E3242FC">
            <w:pPr>
              <w:adjustRightInd w:val="0"/>
              <w:snapToGrid w:val="0"/>
              <w:spacing w:after="93" w:afterLines="30"/>
              <w:ind w:firstLine="400" w:firstLineChars="200"/>
              <w:jc w:val="left"/>
              <w:rPr>
                <w:rFonts w:ascii="宋体" w:hAnsi="宋体" w:cs="宋体"/>
                <w:sz w:val="20"/>
                <w:szCs w:val="20"/>
              </w:rPr>
            </w:pPr>
            <w:r>
              <w:rPr>
                <w:rFonts w:hint="eastAsia" w:ascii="宋体" w:hAnsi="宋体" w:cs="宋体"/>
                <w:sz w:val="20"/>
                <w:szCs w:val="20"/>
              </w:rPr>
              <w:t>若募集期届满，</w:t>
            </w:r>
            <w:r>
              <w:rPr>
                <w:rFonts w:hint="eastAsia" w:ascii="宋体" w:hAnsi="宋体" w:cs="宋体"/>
                <w:b/>
                <w:sz w:val="20"/>
                <w:szCs w:val="20"/>
              </w:rPr>
              <w:t>本产品认购总额低于规模下限，产品管理人有权利但无义务宣布本产品不成立。</w:t>
            </w:r>
          </w:p>
        </w:tc>
      </w:tr>
      <w:tr w14:paraId="75E789C6">
        <w:tblPrEx>
          <w:tblCellMar>
            <w:top w:w="0" w:type="dxa"/>
            <w:left w:w="0" w:type="dxa"/>
            <w:bottom w:w="0" w:type="dxa"/>
            <w:right w:w="0" w:type="dxa"/>
          </w:tblCellMar>
        </w:tblPrEx>
        <w:trPr>
          <w:cantSplit/>
          <w:trHeight w:val="889"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48C67D1C">
            <w:pPr>
              <w:spacing w:after="93" w:afterLines="30"/>
              <w:contextualSpacing/>
              <w:jc w:val="center"/>
              <w:rPr>
                <w:rFonts w:ascii="宋体" w:hAnsi="宋体" w:cs="宋体"/>
                <w:sz w:val="20"/>
                <w:szCs w:val="20"/>
              </w:rPr>
            </w:pPr>
            <w:r>
              <w:rPr>
                <w:rFonts w:hint="eastAsia" w:ascii="宋体" w:hAnsi="宋体" w:cs="宋体"/>
                <w:sz w:val="20"/>
                <w:szCs w:val="20"/>
              </w:rPr>
              <w:t>产品募集期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539B987D">
            <w:pPr>
              <w:spacing w:after="93" w:afterLines="30"/>
              <w:contextualSpacing/>
              <w:jc w:val="center"/>
              <w:rPr>
                <w:rFonts w:ascii="宋体" w:hAnsi="宋体"/>
                <w:sz w:val="20"/>
                <w:szCs w:val="20"/>
              </w:rPr>
            </w:pPr>
            <w:r>
              <w:rPr>
                <w:rFonts w:hint="eastAsia" w:ascii="宋体" w:hAnsi="宋体"/>
                <w:sz w:val="20"/>
                <w:szCs w:val="20"/>
              </w:rPr>
              <w:t>2024年10月10日9:00至2024年10月11日15:30</w:t>
            </w:r>
          </w:p>
          <w:p w14:paraId="1954893A">
            <w:pPr>
              <w:spacing w:after="93" w:afterLines="30"/>
              <w:contextualSpacing/>
              <w:jc w:val="left"/>
              <w:rPr>
                <w:rFonts w:ascii="宋体" w:hAnsi="宋体" w:cs="宋体"/>
                <w:b/>
                <w:sz w:val="20"/>
                <w:szCs w:val="20"/>
              </w:rPr>
            </w:pPr>
            <w:r>
              <w:rPr>
                <w:rFonts w:hint="eastAsia" w:ascii="宋体" w:hAnsi="宋体"/>
                <w:sz w:val="20"/>
                <w:szCs w:val="20"/>
              </w:rPr>
              <w:t xml:space="preserve">   投资者可以在上述时间内通过认购参与本产品，募集期允许认购追加、撤单。</w:t>
            </w:r>
          </w:p>
        </w:tc>
      </w:tr>
      <w:tr w14:paraId="45B8A952">
        <w:tblPrEx>
          <w:tblCellMar>
            <w:top w:w="0" w:type="dxa"/>
            <w:left w:w="0" w:type="dxa"/>
            <w:bottom w:w="0" w:type="dxa"/>
            <w:right w:w="0" w:type="dxa"/>
          </w:tblCellMar>
        </w:tblPrEx>
        <w:trPr>
          <w:cantSplit/>
          <w:trHeight w:val="1249"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64D5E1EC">
            <w:pPr>
              <w:adjustRightInd w:val="0"/>
              <w:snapToGrid w:val="0"/>
              <w:spacing w:after="93" w:afterLines="30"/>
              <w:jc w:val="center"/>
              <w:rPr>
                <w:rFonts w:ascii="宋体" w:hAnsi="宋体" w:cs="宋体"/>
                <w:sz w:val="20"/>
                <w:szCs w:val="20"/>
              </w:rPr>
            </w:pPr>
            <w:r>
              <w:rPr>
                <w:rFonts w:hint="eastAsia" w:ascii="宋体" w:hAnsi="宋体" w:cs="宋体"/>
                <w:sz w:val="20"/>
                <w:szCs w:val="20"/>
              </w:rPr>
              <w:t>投资冷静期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44140B9E">
            <w:pPr>
              <w:spacing w:after="93" w:afterLines="30"/>
              <w:contextualSpacing/>
              <w:jc w:val="center"/>
              <w:rPr>
                <w:rFonts w:ascii="宋体" w:hAnsi="宋体"/>
                <w:sz w:val="20"/>
                <w:szCs w:val="20"/>
              </w:rPr>
            </w:pPr>
            <w:r>
              <w:rPr>
                <w:rFonts w:hint="eastAsia" w:ascii="宋体" w:hAnsi="宋体"/>
                <w:sz w:val="20"/>
                <w:szCs w:val="20"/>
              </w:rPr>
              <w:t>2024年10月10日</w:t>
            </w:r>
            <w:r>
              <w:rPr>
                <w:rFonts w:ascii="宋体" w:hAnsi="宋体"/>
                <w:sz w:val="20"/>
                <w:szCs w:val="20"/>
              </w:rPr>
              <w:t>15:30</w:t>
            </w:r>
            <w:r>
              <w:rPr>
                <w:rFonts w:hint="eastAsia" w:ascii="宋体" w:hAnsi="宋体"/>
                <w:sz w:val="20"/>
                <w:szCs w:val="20"/>
              </w:rPr>
              <w:t>至2024年10月11日15:30</w:t>
            </w:r>
          </w:p>
          <w:p w14:paraId="4BAB9CFF">
            <w:pPr>
              <w:ind w:firstLine="400" w:firstLineChars="200"/>
              <w:contextualSpacing/>
              <w:jc w:val="left"/>
              <w:rPr>
                <w:rFonts w:ascii="宋体" w:hAnsi="宋体"/>
                <w:sz w:val="20"/>
                <w:szCs w:val="20"/>
              </w:rPr>
            </w:pPr>
            <w:r>
              <w:rPr>
                <w:rFonts w:hint="eastAsia" w:ascii="宋体" w:hAnsi="宋体"/>
                <w:sz w:val="20"/>
                <w:szCs w:val="20"/>
              </w:rPr>
              <w:t>投资冷静期内，如果投资者改变决定，拥有解除已签订的销售文件，并要求退还全部投资款项的权利。</w:t>
            </w:r>
          </w:p>
          <w:p w14:paraId="3D0CB4A6">
            <w:pPr>
              <w:ind w:firstLine="400" w:firstLineChars="200"/>
              <w:contextualSpacing/>
              <w:jc w:val="left"/>
              <w:rPr>
                <w:rFonts w:ascii="宋体" w:hAnsi="宋体"/>
                <w:sz w:val="20"/>
                <w:szCs w:val="20"/>
              </w:rPr>
            </w:pPr>
            <w:r>
              <w:rPr>
                <w:rFonts w:hint="eastAsia" w:ascii="宋体" w:hAnsi="宋体"/>
                <w:sz w:val="20"/>
                <w:szCs w:val="20"/>
              </w:rPr>
              <w:t>投资冷静期内，本产品不接受认购。</w:t>
            </w:r>
          </w:p>
          <w:p w14:paraId="0A44B299">
            <w:pPr>
              <w:spacing w:after="93" w:afterLines="30"/>
              <w:contextualSpacing/>
              <w:jc w:val="center"/>
              <w:rPr>
                <w:rFonts w:ascii="宋体" w:hAnsi="宋体"/>
                <w:sz w:val="20"/>
                <w:szCs w:val="20"/>
              </w:rPr>
            </w:pPr>
          </w:p>
        </w:tc>
      </w:tr>
      <w:tr w14:paraId="1DC88E4E">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868B014">
            <w:pPr>
              <w:adjustRightInd w:val="0"/>
              <w:snapToGrid w:val="0"/>
              <w:spacing w:after="93" w:afterLines="30"/>
              <w:jc w:val="center"/>
              <w:rPr>
                <w:rFonts w:ascii="宋体" w:hAnsi="宋体" w:cs="宋体"/>
                <w:sz w:val="20"/>
                <w:szCs w:val="20"/>
              </w:rPr>
            </w:pPr>
            <w:r>
              <w:rPr>
                <w:rFonts w:hint="eastAsia" w:ascii="宋体" w:hAnsi="宋体" w:cs="宋体"/>
                <w:sz w:val="20"/>
                <w:szCs w:val="20"/>
              </w:rPr>
              <w:t>产品成立日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1EBBD5E">
            <w:pPr>
              <w:spacing w:after="93" w:afterLines="30"/>
              <w:contextualSpacing/>
              <w:jc w:val="center"/>
              <w:rPr>
                <w:rFonts w:ascii="宋体" w:hAnsi="宋体"/>
                <w:sz w:val="20"/>
                <w:szCs w:val="20"/>
              </w:rPr>
            </w:pPr>
            <w:r>
              <w:rPr>
                <w:rFonts w:hint="eastAsia" w:ascii="宋体" w:hAnsi="宋体"/>
                <w:sz w:val="20"/>
                <w:szCs w:val="20"/>
              </w:rPr>
              <w:t>2024年10月14日</w:t>
            </w:r>
          </w:p>
        </w:tc>
      </w:tr>
      <w:tr w14:paraId="1CF4A68E">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643C2E8">
            <w:pPr>
              <w:spacing w:after="93" w:afterLines="30"/>
              <w:contextualSpacing/>
              <w:jc w:val="center"/>
              <w:rPr>
                <w:rFonts w:ascii="宋体" w:hAnsi="宋体" w:cs="宋体"/>
                <w:sz w:val="20"/>
                <w:szCs w:val="20"/>
              </w:rPr>
            </w:pPr>
            <w:r>
              <w:rPr>
                <w:rFonts w:hint="eastAsia" w:ascii="宋体" w:hAnsi="宋体" w:cs="宋体"/>
                <w:sz w:val="20"/>
                <w:szCs w:val="20"/>
              </w:rPr>
              <w:t>产品期限</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30F273F">
            <w:pPr>
              <w:spacing w:after="93" w:afterLines="30"/>
              <w:contextualSpacing/>
              <w:jc w:val="center"/>
              <w:rPr>
                <w:rFonts w:ascii="宋体" w:hAnsi="宋体" w:cs="宋体"/>
                <w:b/>
                <w:sz w:val="20"/>
                <w:szCs w:val="20"/>
              </w:rPr>
            </w:pPr>
            <w:r>
              <w:rPr>
                <w:rFonts w:hint="eastAsia" w:ascii="宋体" w:hAnsi="宋体"/>
                <w:sz w:val="20"/>
                <w:szCs w:val="20"/>
              </w:rPr>
              <w:t>184</w:t>
            </w:r>
            <w:r>
              <w:rPr>
                <w:rFonts w:ascii="宋体" w:hAnsi="宋体"/>
                <w:sz w:val="20"/>
                <w:szCs w:val="20"/>
              </w:rPr>
              <w:t>天</w:t>
            </w:r>
          </w:p>
        </w:tc>
      </w:tr>
      <w:tr w14:paraId="45015732">
        <w:tblPrEx>
          <w:tblCellMar>
            <w:top w:w="0" w:type="dxa"/>
            <w:left w:w="0" w:type="dxa"/>
            <w:bottom w:w="0" w:type="dxa"/>
            <w:right w:w="0" w:type="dxa"/>
          </w:tblCellMar>
        </w:tblPrEx>
        <w:trPr>
          <w:cantSplit/>
          <w:trHeight w:val="453"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63ACFAC">
            <w:pPr>
              <w:spacing w:after="93" w:afterLines="30"/>
              <w:contextualSpacing/>
              <w:jc w:val="center"/>
              <w:rPr>
                <w:rFonts w:ascii="宋体" w:hAnsi="宋体" w:cs="宋体"/>
                <w:sz w:val="20"/>
                <w:szCs w:val="20"/>
              </w:rPr>
            </w:pPr>
            <w:r>
              <w:rPr>
                <w:rFonts w:hint="eastAsia" w:ascii="宋体" w:hAnsi="宋体" w:cs="宋体"/>
                <w:sz w:val="20"/>
                <w:szCs w:val="20"/>
              </w:rPr>
              <w:t>产品到期日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CE1A333">
            <w:pPr>
              <w:pStyle w:val="31"/>
              <w:spacing w:after="93" w:afterLines="30"/>
              <w:jc w:val="center"/>
              <w:rPr>
                <w:rFonts w:ascii="宋体" w:hAnsi="宋体" w:eastAsia="宋体"/>
                <w:color w:val="auto"/>
                <w:sz w:val="20"/>
              </w:rPr>
            </w:pPr>
            <w:r>
              <w:rPr>
                <w:rFonts w:hint="eastAsia" w:ascii="宋体" w:hAnsi="宋体" w:eastAsia="宋体"/>
                <w:color w:val="auto"/>
                <w:sz w:val="20"/>
                <w:szCs w:val="20"/>
              </w:rPr>
              <w:t>2025年04月16日</w:t>
            </w:r>
          </w:p>
        </w:tc>
      </w:tr>
      <w:tr w14:paraId="21356FE3">
        <w:tblPrEx>
          <w:tblCellMar>
            <w:top w:w="0" w:type="dxa"/>
            <w:left w:w="0" w:type="dxa"/>
            <w:bottom w:w="0" w:type="dxa"/>
            <w:right w:w="0" w:type="dxa"/>
          </w:tblCellMar>
        </w:tblPrEx>
        <w:trPr>
          <w:cantSplit/>
          <w:trHeight w:val="453"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1BCAC7B">
            <w:pPr>
              <w:pStyle w:val="31"/>
              <w:spacing w:after="93" w:afterLines="30"/>
              <w:jc w:val="center"/>
              <w:outlineLvl w:val="1"/>
              <w:rPr>
                <w:rFonts w:ascii="宋体" w:hAnsi="宋体" w:eastAsia="宋体" w:cs="黑体"/>
                <w:b/>
                <w:color w:val="auto"/>
                <w:sz w:val="20"/>
                <w:szCs w:val="20"/>
              </w:rPr>
            </w:pPr>
            <w:r>
              <w:rPr>
                <w:rFonts w:hint="eastAsia" w:ascii="宋体" w:hAnsi="宋体" w:eastAsia="宋体" w:cs="黑体"/>
                <w:b/>
                <w:color w:val="auto"/>
                <w:sz w:val="20"/>
                <w:szCs w:val="20"/>
              </w:rPr>
              <w:t>产品终止日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6729F19">
            <w:pPr>
              <w:pStyle w:val="31"/>
              <w:spacing w:after="93" w:afterLines="30"/>
              <w:jc w:val="center"/>
              <w:outlineLvl w:val="1"/>
              <w:rPr>
                <w:rFonts w:ascii="宋体" w:hAnsi="宋体" w:eastAsia="宋体" w:cs="黑体"/>
                <w:b/>
                <w:color w:val="auto"/>
                <w:sz w:val="20"/>
                <w:szCs w:val="20"/>
              </w:rPr>
            </w:pPr>
            <w:r>
              <w:rPr>
                <w:rFonts w:hint="eastAsia" w:ascii="宋体" w:hAnsi="宋体" w:eastAsia="宋体" w:cs="黑体"/>
                <w:b/>
                <w:color w:val="auto"/>
                <w:sz w:val="20"/>
                <w:szCs w:val="20"/>
              </w:rPr>
              <w:t>产品终止日包括产品到期日，或提前终止日，或延期终止日</w:t>
            </w:r>
          </w:p>
        </w:tc>
      </w:tr>
      <w:tr w14:paraId="61298AE6">
        <w:tblPrEx>
          <w:tblCellMar>
            <w:top w:w="0" w:type="dxa"/>
            <w:left w:w="0" w:type="dxa"/>
            <w:bottom w:w="0" w:type="dxa"/>
            <w:right w:w="0" w:type="dxa"/>
          </w:tblCellMar>
        </w:tblPrEx>
        <w:trPr>
          <w:cantSplit/>
          <w:trHeight w:val="340"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7AA86C3C">
            <w:pPr>
              <w:spacing w:after="93" w:afterLines="30"/>
              <w:contextualSpacing/>
              <w:jc w:val="center"/>
              <w:rPr>
                <w:rFonts w:ascii="宋体" w:hAnsi="宋体" w:cs="宋体"/>
                <w:sz w:val="20"/>
                <w:szCs w:val="20"/>
              </w:rPr>
            </w:pPr>
            <w:r>
              <w:rPr>
                <w:rFonts w:hint="eastAsia" w:ascii="宋体" w:hAnsi="宋体" w:cs="宋体"/>
                <w:sz w:val="20"/>
                <w:szCs w:val="20"/>
              </w:rPr>
              <w:t>产品</w:t>
            </w:r>
            <w:r>
              <w:rPr>
                <w:rFonts w:ascii="宋体" w:hAnsi="宋体" w:cs="宋体"/>
                <w:sz w:val="20"/>
                <w:szCs w:val="20"/>
              </w:rPr>
              <w:t>认购及确认</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36FAEF3A">
            <w:pPr>
              <w:spacing w:after="93" w:afterLines="30"/>
              <w:ind w:firstLine="400" w:firstLineChars="200"/>
              <w:contextualSpacing/>
              <w:rPr>
                <w:rFonts w:ascii="宋体" w:hAnsi="宋体"/>
                <w:sz w:val="20"/>
                <w:szCs w:val="20"/>
              </w:rPr>
            </w:pPr>
            <w:r>
              <w:rPr>
                <w:rFonts w:ascii="宋体" w:hAnsi="宋体"/>
                <w:sz w:val="20"/>
              </w:rPr>
              <w:t>1.本产品</w:t>
            </w:r>
            <w:r>
              <w:rPr>
                <w:rFonts w:hint="eastAsia" w:ascii="宋体" w:hAnsi="宋体"/>
                <w:sz w:val="20"/>
                <w:szCs w:val="20"/>
              </w:rPr>
              <w:t>在成立日对认购申请的有效性进行确认。</w:t>
            </w:r>
          </w:p>
          <w:p w14:paraId="4B29955E">
            <w:pPr>
              <w:spacing w:after="93" w:afterLines="30"/>
              <w:ind w:firstLine="400" w:firstLineChars="200"/>
              <w:contextualSpacing/>
              <w:rPr>
                <w:rFonts w:ascii="宋体" w:hAnsi="宋体"/>
                <w:sz w:val="20"/>
                <w:szCs w:val="20"/>
              </w:rPr>
            </w:pPr>
            <w:r>
              <w:rPr>
                <w:rFonts w:hint="eastAsia" w:ascii="宋体" w:hAnsi="宋体"/>
                <w:sz w:val="20"/>
                <w:szCs w:val="20"/>
              </w:rPr>
              <w:t>2.募集期产品份额净值为1.000000元/份。</w:t>
            </w:r>
          </w:p>
          <w:p w14:paraId="1F7B57C4">
            <w:pPr>
              <w:spacing w:after="93" w:afterLines="30"/>
              <w:ind w:firstLine="400" w:firstLineChars="200"/>
              <w:contextualSpacing/>
              <w:rPr>
                <w:rFonts w:ascii="宋体" w:hAnsi="宋体"/>
                <w:sz w:val="20"/>
                <w:szCs w:val="20"/>
              </w:rPr>
            </w:pPr>
            <w:r>
              <w:rPr>
                <w:rFonts w:hint="eastAsia" w:ascii="宋体" w:hAnsi="宋体"/>
                <w:sz w:val="20"/>
                <w:szCs w:val="20"/>
              </w:rPr>
              <w:t>3.认购份额=认购金额÷1.000000。</w:t>
            </w:r>
            <w:r>
              <w:rPr>
                <w:rFonts w:ascii="宋体" w:hAnsi="宋体"/>
                <w:sz w:val="20"/>
                <w:szCs w:val="20"/>
              </w:rPr>
              <w:t xml:space="preserve"> </w:t>
            </w:r>
          </w:p>
        </w:tc>
      </w:tr>
      <w:tr w14:paraId="27EA4432">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4F3DCE3E">
            <w:pPr>
              <w:spacing w:after="93" w:afterLines="30"/>
              <w:contextualSpacing/>
              <w:jc w:val="center"/>
              <w:rPr>
                <w:rFonts w:ascii="宋体" w:hAnsi="宋体"/>
                <w:sz w:val="20"/>
                <w:szCs w:val="20"/>
              </w:rPr>
            </w:pPr>
            <w:r>
              <w:rPr>
                <w:rFonts w:hint="eastAsia" w:ascii="宋体" w:hAnsi="宋体"/>
                <w:sz w:val="20"/>
                <w:szCs w:val="20"/>
              </w:rPr>
              <w:t>初始销售面值</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34350200">
            <w:pPr>
              <w:spacing w:after="93" w:afterLines="30"/>
              <w:contextualSpacing/>
              <w:jc w:val="center"/>
              <w:rPr>
                <w:rFonts w:ascii="宋体" w:hAnsi="宋体"/>
                <w:sz w:val="20"/>
                <w:szCs w:val="20"/>
              </w:rPr>
            </w:pPr>
            <w:r>
              <w:rPr>
                <w:rFonts w:hint="eastAsia" w:ascii="宋体" w:hAnsi="宋体"/>
                <w:sz w:val="20"/>
                <w:szCs w:val="20"/>
              </w:rPr>
              <w:t>1元/份</w:t>
            </w:r>
          </w:p>
        </w:tc>
      </w:tr>
      <w:tr w14:paraId="343CDF6B">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32F77759">
            <w:pPr>
              <w:spacing w:after="93" w:afterLines="30"/>
              <w:contextualSpacing/>
              <w:jc w:val="center"/>
              <w:rPr>
                <w:rFonts w:ascii="宋体" w:hAnsi="宋体" w:cs="宋体"/>
                <w:sz w:val="20"/>
                <w:szCs w:val="20"/>
              </w:rPr>
            </w:pPr>
            <w:r>
              <w:rPr>
                <w:rFonts w:hint="eastAsia" w:ascii="宋体" w:hAnsi="宋体"/>
                <w:sz w:val="20"/>
                <w:szCs w:val="20"/>
              </w:rPr>
              <w:t>认购金额</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379C8E5B">
            <w:pPr>
              <w:spacing w:after="93" w:afterLines="30"/>
              <w:contextualSpacing/>
              <w:jc w:val="center"/>
              <w:rPr>
                <w:rFonts w:ascii="宋体" w:hAnsi="宋体"/>
                <w:sz w:val="20"/>
                <w:szCs w:val="20"/>
              </w:rPr>
            </w:pPr>
            <w:r>
              <w:rPr>
                <w:rFonts w:hint="eastAsia" w:ascii="宋体" w:hAnsi="宋体"/>
                <w:sz w:val="20"/>
                <w:szCs w:val="20"/>
              </w:rPr>
              <w:t>1000万元人民币起购，认购金额以1万元人民币的整数倍递增</w:t>
            </w:r>
          </w:p>
        </w:tc>
      </w:tr>
      <w:tr w14:paraId="098CBFB4">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601F5BFA">
            <w:pPr>
              <w:spacing w:after="93" w:afterLines="30"/>
              <w:jc w:val="center"/>
              <w:rPr>
                <w:rFonts w:ascii="宋体" w:hAnsi="宋体"/>
                <w:sz w:val="20"/>
                <w:szCs w:val="20"/>
              </w:rPr>
            </w:pPr>
            <w:r>
              <w:rPr>
                <w:rFonts w:hint="eastAsia" w:ascii="宋体" w:hAnsi="宋体"/>
                <w:sz w:val="20"/>
                <w:szCs w:val="20"/>
              </w:rPr>
              <w:t>销售区域</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4FCE92E5">
            <w:pPr>
              <w:spacing w:after="93" w:afterLines="30"/>
              <w:ind w:right="189" w:rightChars="90"/>
              <w:jc w:val="center"/>
              <w:rPr>
                <w:rFonts w:ascii="宋体" w:hAnsi="宋体"/>
                <w:sz w:val="20"/>
                <w:szCs w:val="20"/>
              </w:rPr>
            </w:pPr>
            <w:r>
              <w:rPr>
                <w:rFonts w:hint="eastAsia" w:ascii="宋体" w:hAnsi="宋体"/>
                <w:sz w:val="20"/>
                <w:szCs w:val="20"/>
              </w:rPr>
              <w:t>本产品在大连市范围内销售</w:t>
            </w:r>
          </w:p>
        </w:tc>
      </w:tr>
      <w:tr w14:paraId="277B3B7E">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3C446C82">
            <w:pPr>
              <w:spacing w:after="93" w:afterLines="30"/>
              <w:contextualSpacing/>
              <w:jc w:val="center"/>
              <w:rPr>
                <w:rFonts w:ascii="宋体" w:hAnsi="宋体" w:cs="宋体"/>
                <w:sz w:val="20"/>
                <w:szCs w:val="20"/>
              </w:rPr>
            </w:pPr>
            <w:r>
              <w:rPr>
                <w:rFonts w:hint="eastAsia" w:ascii="宋体" w:hAnsi="宋体" w:cs="宋体"/>
                <w:sz w:val="20"/>
                <w:szCs w:val="20"/>
              </w:rPr>
              <w:t>购买渠道</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585A0D0C">
            <w:pPr>
              <w:spacing w:after="93" w:afterLines="30"/>
              <w:ind w:right="189" w:rightChars="90" w:firstLine="400" w:firstLineChars="200"/>
              <w:jc w:val="left"/>
              <w:rPr>
                <w:rFonts w:ascii="宋体" w:hAnsi="宋体"/>
                <w:sz w:val="20"/>
                <w:szCs w:val="20"/>
              </w:rPr>
            </w:pPr>
            <w:r>
              <w:rPr>
                <w:rFonts w:hint="eastAsia" w:ascii="宋体" w:hAnsi="宋体"/>
                <w:color w:val="000000"/>
                <w:sz w:val="20"/>
                <w:szCs w:val="20"/>
              </w:rPr>
              <w:t>投资者可通过中国建设银行网银、手机银行、网点柜面等渠道购买本产品。</w:t>
            </w:r>
          </w:p>
        </w:tc>
      </w:tr>
      <w:tr w14:paraId="1A95AD0D">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65225D4F">
            <w:pPr>
              <w:spacing w:after="93" w:afterLines="30"/>
              <w:contextualSpacing/>
              <w:jc w:val="center"/>
              <w:rPr>
                <w:rFonts w:ascii="宋体" w:hAnsi="宋体" w:cs="宋体"/>
                <w:sz w:val="20"/>
                <w:szCs w:val="20"/>
              </w:rPr>
            </w:pPr>
            <w:r>
              <w:rPr>
                <w:rFonts w:hint="eastAsia" w:ascii="宋体" w:hAnsi="宋体" w:cs="宋体"/>
                <w:sz w:val="20"/>
                <w:szCs w:val="20"/>
              </w:rPr>
              <w:t>产品份额净值披露</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3F9019E3">
            <w:pPr>
              <w:spacing w:after="93" w:afterLines="30"/>
              <w:ind w:right="189" w:rightChars="90" w:firstLine="400" w:firstLineChars="200"/>
              <w:rPr>
                <w:rFonts w:ascii="宋体" w:hAnsi="宋体"/>
                <w:b/>
                <w:sz w:val="20"/>
              </w:rPr>
            </w:pPr>
            <w:r>
              <w:rPr>
                <w:rFonts w:ascii="宋体" w:hAnsi="宋体"/>
                <w:sz w:val="20"/>
              </w:rPr>
              <w:t>1</w:t>
            </w:r>
            <w:r>
              <w:rPr>
                <w:rFonts w:hint="eastAsia" w:ascii="宋体" w:hAnsi="宋体"/>
                <w:sz w:val="20"/>
              </w:rPr>
              <w:t>.本产品份额净值的计算按照四舍五入原则，精确到0.000001</w:t>
            </w:r>
            <w:r>
              <w:rPr>
                <w:rFonts w:hint="eastAsia" w:ascii="宋体" w:hAnsi="宋体"/>
                <w:sz w:val="20"/>
                <w:szCs w:val="20"/>
              </w:rPr>
              <w:t>元</w:t>
            </w:r>
            <w:r>
              <w:rPr>
                <w:rFonts w:hint="eastAsia" w:ascii="宋体" w:hAnsi="宋体"/>
                <w:sz w:val="20"/>
              </w:rPr>
              <w:t>，小数点六位以后的部分四舍五入</w:t>
            </w:r>
            <w:r>
              <w:rPr>
                <w:rFonts w:hint="eastAsia" w:ascii="宋体" w:hAnsi="宋体"/>
                <w:sz w:val="20"/>
                <w:szCs w:val="20"/>
              </w:rPr>
              <w:t>，</w:t>
            </w:r>
            <w:r>
              <w:rPr>
                <w:rFonts w:hint="eastAsia" w:ascii="宋体" w:hAnsi="宋体"/>
                <w:b/>
                <w:bCs/>
                <w:sz w:val="20"/>
                <w:szCs w:val="20"/>
              </w:rPr>
              <w:t>因四舍五入产生的收益归理财产品所有，产生的损失尾差由理财产品承担</w:t>
            </w:r>
            <w:r>
              <w:rPr>
                <w:rFonts w:hint="eastAsia" w:ascii="宋体" w:hAnsi="宋体"/>
                <w:b/>
                <w:sz w:val="20"/>
              </w:rPr>
              <w:t>。</w:t>
            </w:r>
          </w:p>
          <w:p w14:paraId="196CEDA0">
            <w:pPr>
              <w:pStyle w:val="31"/>
              <w:spacing w:after="93" w:afterLines="30"/>
              <w:ind w:firstLine="400" w:firstLineChars="200"/>
              <w:rPr>
                <w:rFonts w:ascii="宋体" w:hAnsi="宋体" w:eastAsia="宋体" w:cs="Times New Roman"/>
                <w:color w:val="auto"/>
                <w:kern w:val="2"/>
                <w:sz w:val="20"/>
                <w:szCs w:val="20"/>
              </w:rPr>
            </w:pPr>
            <w:r>
              <w:rPr>
                <w:rFonts w:ascii="宋体" w:hAnsi="宋体" w:eastAsia="宋体" w:cs="Times New Roman"/>
                <w:color w:val="auto"/>
                <w:kern w:val="2"/>
                <w:sz w:val="20"/>
                <w:szCs w:val="20"/>
              </w:rPr>
              <w:t>2</w:t>
            </w:r>
            <w:r>
              <w:rPr>
                <w:rFonts w:hint="eastAsia" w:ascii="宋体" w:hAnsi="宋体" w:eastAsia="宋体" w:cs="Times New Roman"/>
                <w:color w:val="auto"/>
                <w:kern w:val="2"/>
                <w:sz w:val="20"/>
                <w:szCs w:val="20"/>
              </w:rPr>
              <w:t>.本产品份额的计算按照四舍五入原则，精确到0.01份，小数点两位以后的部分四舍五入。</w:t>
            </w:r>
          </w:p>
          <w:p w14:paraId="701A54E0">
            <w:pPr>
              <w:spacing w:after="93" w:afterLines="30"/>
              <w:ind w:firstLine="360"/>
              <w:rPr>
                <w:rFonts w:ascii="宋体" w:hAnsi="宋体"/>
                <w:sz w:val="20"/>
                <w:szCs w:val="20"/>
              </w:rPr>
            </w:pPr>
            <w:r>
              <w:rPr>
                <w:rFonts w:ascii="宋体" w:hAnsi="宋体"/>
                <w:sz w:val="20"/>
              </w:rPr>
              <w:t>3</w:t>
            </w:r>
            <w:r>
              <w:rPr>
                <w:rFonts w:hint="eastAsia" w:ascii="宋体" w:hAnsi="宋体"/>
                <w:sz w:val="20"/>
              </w:rPr>
              <w:t>.</w:t>
            </w:r>
            <w:r>
              <w:rPr>
                <w:rFonts w:hint="eastAsia" w:ascii="宋体" w:hAnsi="宋体"/>
                <w:sz w:val="20"/>
                <w:szCs w:val="20"/>
              </w:rPr>
              <w:t>在每季季初的</w:t>
            </w:r>
            <w:r>
              <w:rPr>
                <w:rFonts w:ascii="宋体" w:hAnsi="宋体"/>
                <w:sz w:val="20"/>
                <w:szCs w:val="20"/>
              </w:rPr>
              <w:t>5</w:t>
            </w:r>
            <w:r>
              <w:rPr>
                <w:rFonts w:hint="eastAsia" w:ascii="宋体" w:hAnsi="宋体"/>
                <w:sz w:val="20"/>
                <w:szCs w:val="20"/>
              </w:rPr>
              <w:t>个工作日内公布上季度最后一个自然日产品的份额净值和资产净值</w:t>
            </w:r>
            <w:r>
              <w:rPr>
                <w:rFonts w:hint="eastAsia" w:ascii="宋体" w:hAnsi="宋体"/>
                <w:bCs/>
                <w:sz w:val="20"/>
                <w:szCs w:val="20"/>
              </w:rPr>
              <w:t>，如遇特殊情况，以产品管理人信息披露为准。</w:t>
            </w:r>
          </w:p>
          <w:p w14:paraId="05F2A11A">
            <w:pPr>
              <w:pStyle w:val="31"/>
              <w:spacing w:after="93" w:afterLines="30"/>
              <w:ind w:firstLine="400" w:firstLineChars="200"/>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4.产品份额净值为计提相关费用后的产品份额净值。</w:t>
            </w:r>
          </w:p>
        </w:tc>
      </w:tr>
      <w:tr w14:paraId="4E8D73F3">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35936D5D">
            <w:pPr>
              <w:spacing w:after="93" w:afterLines="30"/>
              <w:jc w:val="center"/>
              <w:rPr>
                <w:rFonts w:ascii="宋体" w:hAnsi="宋体" w:cs="宋体"/>
                <w:sz w:val="20"/>
                <w:szCs w:val="20"/>
              </w:rPr>
            </w:pPr>
            <w:r>
              <w:rPr>
                <w:rFonts w:hint="eastAsia" w:ascii="宋体" w:hAnsi="宋体" w:cs="宋体"/>
                <w:sz w:val="20"/>
                <w:szCs w:val="20"/>
              </w:rPr>
              <w:t>产品费用</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3E258BE4">
            <w:pPr>
              <w:spacing w:after="93" w:afterLines="30"/>
              <w:ind w:right="189" w:rightChars="90" w:firstLine="400" w:firstLineChars="200"/>
              <w:jc w:val="left"/>
              <w:rPr>
                <w:rFonts w:ascii="宋体" w:hAnsi="宋体" w:cs="宋体"/>
                <w:sz w:val="20"/>
                <w:szCs w:val="20"/>
              </w:rPr>
            </w:pPr>
            <w:r>
              <w:rPr>
                <w:rFonts w:hint="eastAsia" w:ascii="宋体" w:hAnsi="宋体" w:cs="宋体"/>
                <w:sz w:val="20"/>
                <w:szCs w:val="20"/>
              </w:rPr>
              <w:t>本产品收取的费用为销售费、固定管理费、托管费、超额业绩报酬和</w:t>
            </w:r>
            <w:r>
              <w:rPr>
                <w:rFonts w:hint="eastAsia" w:ascii="宋体" w:hAnsi="宋体"/>
                <w:sz w:val="20"/>
                <w:szCs w:val="20"/>
              </w:rPr>
              <w:t>与本产品相关的其他费用</w:t>
            </w:r>
            <w:r>
              <w:rPr>
                <w:rFonts w:hint="eastAsia" w:ascii="宋体" w:hAnsi="宋体" w:cs="宋体"/>
                <w:sz w:val="20"/>
                <w:szCs w:val="20"/>
              </w:rPr>
              <w:t>。</w:t>
            </w:r>
          </w:p>
          <w:p w14:paraId="478EE672">
            <w:pPr>
              <w:spacing w:after="93" w:afterLines="30"/>
              <w:ind w:right="189" w:rightChars="90" w:firstLine="400" w:firstLineChars="200"/>
              <w:jc w:val="left"/>
              <w:rPr>
                <w:rFonts w:ascii="宋体" w:hAnsi="宋体" w:cs="宋体"/>
                <w:sz w:val="20"/>
                <w:szCs w:val="20"/>
              </w:rPr>
            </w:pPr>
            <w:r>
              <w:rPr>
                <w:rFonts w:hint="eastAsia" w:ascii="宋体" w:hAnsi="宋体" w:cs="宋体"/>
                <w:sz w:val="20"/>
                <w:szCs w:val="20"/>
              </w:rPr>
              <w:t>详见本产品说明书</w:t>
            </w:r>
            <w:r>
              <w:rPr>
                <w:rFonts w:hint="eastAsia" w:ascii="宋体" w:hAnsi="宋体"/>
                <w:sz w:val="20"/>
              </w:rPr>
              <w:t>第五</w:t>
            </w:r>
            <w:r>
              <w:rPr>
                <w:rFonts w:hint="eastAsia" w:ascii="宋体" w:hAnsi="宋体"/>
                <w:sz w:val="20"/>
                <w:szCs w:val="20"/>
              </w:rPr>
              <w:t>条第（一）款</w:t>
            </w:r>
            <w:r>
              <w:rPr>
                <w:rFonts w:hint="eastAsia" w:ascii="宋体" w:hAnsi="宋体"/>
                <w:sz w:val="20"/>
              </w:rPr>
              <w:t>“产品费用</w:t>
            </w:r>
            <w:r>
              <w:rPr>
                <w:rFonts w:hint="eastAsia" w:ascii="宋体" w:hAnsi="宋体"/>
                <w:sz w:val="20"/>
                <w:szCs w:val="20"/>
              </w:rPr>
              <w:t>计提方法和计提标准</w:t>
            </w:r>
            <w:r>
              <w:rPr>
                <w:rFonts w:hint="eastAsia" w:ascii="宋体" w:hAnsi="宋体"/>
                <w:sz w:val="20"/>
              </w:rPr>
              <w:t>”。</w:t>
            </w:r>
          </w:p>
        </w:tc>
      </w:tr>
      <w:tr w14:paraId="565D598C">
        <w:tblPrEx>
          <w:tblCellMar>
            <w:top w:w="0" w:type="dxa"/>
            <w:left w:w="0" w:type="dxa"/>
            <w:bottom w:w="0" w:type="dxa"/>
            <w:right w:w="0" w:type="dxa"/>
          </w:tblCellMar>
        </w:tblPrEx>
        <w:trPr>
          <w:cantSplit/>
          <w:trHeight w:val="44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4E8BB63">
            <w:pPr>
              <w:spacing w:after="93" w:afterLines="30"/>
              <w:contextualSpacing/>
              <w:jc w:val="center"/>
              <w:rPr>
                <w:rFonts w:ascii="宋体" w:hAnsi="宋体" w:cs="宋体"/>
                <w:sz w:val="20"/>
                <w:szCs w:val="20"/>
              </w:rPr>
            </w:pPr>
            <w:r>
              <w:rPr>
                <w:rFonts w:hint="eastAsia" w:ascii="宋体" w:hAnsi="宋体" w:cs="宋体"/>
                <w:sz w:val="20"/>
                <w:szCs w:val="20"/>
              </w:rPr>
              <w:t>投资收益</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640D5C45">
            <w:pPr>
              <w:pStyle w:val="31"/>
              <w:spacing w:after="93" w:afterLines="30"/>
              <w:ind w:firstLine="400" w:firstLineChars="200"/>
              <w:rPr>
                <w:rFonts w:ascii="宋体" w:hAnsi="宋体" w:eastAsia="宋体" w:cs="宋体"/>
                <w:color w:val="auto"/>
                <w:sz w:val="20"/>
                <w:szCs w:val="20"/>
              </w:rPr>
            </w:pPr>
            <w:r>
              <w:rPr>
                <w:rFonts w:hint="eastAsia" w:ascii="宋体" w:hAnsi="宋体" w:eastAsia="宋体" w:cs="宋体"/>
                <w:sz w:val="20"/>
                <w:szCs w:val="20"/>
              </w:rPr>
              <w:t>本产品无分红机制，投资运作情况体现为产品净值变化。</w:t>
            </w:r>
          </w:p>
        </w:tc>
      </w:tr>
      <w:tr w14:paraId="52BB270F">
        <w:tblPrEx>
          <w:tblCellMar>
            <w:top w:w="0" w:type="dxa"/>
            <w:left w:w="0" w:type="dxa"/>
            <w:bottom w:w="0" w:type="dxa"/>
            <w:right w:w="0" w:type="dxa"/>
          </w:tblCellMar>
        </w:tblPrEx>
        <w:trPr>
          <w:cantSplit/>
          <w:trHeight w:val="44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234467B2">
            <w:pPr>
              <w:spacing w:after="93" w:afterLines="30"/>
              <w:contextualSpacing/>
              <w:jc w:val="center"/>
              <w:rPr>
                <w:rFonts w:ascii="宋体" w:hAnsi="宋体" w:cs="宋体"/>
                <w:sz w:val="20"/>
                <w:szCs w:val="20"/>
              </w:rPr>
            </w:pPr>
            <w:r>
              <w:rPr>
                <w:rFonts w:hint="eastAsia" w:ascii="宋体" w:hAnsi="宋体" w:cs="宋体"/>
                <w:sz w:val="20"/>
                <w:szCs w:val="20"/>
              </w:rPr>
              <w:t>交易日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5875A98F">
            <w:pPr>
              <w:pStyle w:val="31"/>
              <w:spacing w:after="93" w:afterLines="30"/>
              <w:ind w:firstLine="400" w:firstLineChars="200"/>
              <w:rPr>
                <w:rFonts w:ascii="宋体" w:hAnsi="宋体" w:eastAsia="宋体" w:cs="宋体"/>
                <w:color w:val="auto"/>
                <w:kern w:val="2"/>
                <w:sz w:val="20"/>
                <w:szCs w:val="20"/>
              </w:rPr>
            </w:pPr>
            <w:r>
              <w:rPr>
                <w:rFonts w:hint="eastAsia" w:ascii="宋体" w:hAnsi="宋体" w:eastAsia="宋体" w:cs="宋体"/>
                <w:color w:val="auto"/>
                <w:kern w:val="2"/>
                <w:sz w:val="20"/>
                <w:szCs w:val="20"/>
              </w:rPr>
              <w:t>本产品所称交易日，是指上海证券交易所和深圳证券交易所的每一正常交易日。如遇特殊情况，以产品管理人具体公告为准。</w:t>
            </w:r>
          </w:p>
        </w:tc>
      </w:tr>
      <w:tr w14:paraId="542B2A9D">
        <w:tblPrEx>
          <w:tblCellMar>
            <w:top w:w="0" w:type="dxa"/>
            <w:left w:w="0" w:type="dxa"/>
            <w:bottom w:w="0" w:type="dxa"/>
            <w:right w:w="0" w:type="dxa"/>
          </w:tblCellMar>
        </w:tblPrEx>
        <w:trPr>
          <w:cantSplit/>
          <w:trHeight w:val="44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208EAAB">
            <w:pPr>
              <w:spacing w:after="93" w:afterLines="30"/>
              <w:contextualSpacing/>
              <w:jc w:val="center"/>
              <w:rPr>
                <w:rFonts w:ascii="宋体" w:hAnsi="宋体" w:cs="宋体"/>
                <w:sz w:val="20"/>
                <w:szCs w:val="20"/>
              </w:rPr>
            </w:pPr>
            <w:r>
              <w:rPr>
                <w:rFonts w:hint="eastAsia" w:ascii="宋体" w:hAnsi="宋体" w:cs="宋体"/>
                <w:sz w:val="20"/>
                <w:szCs w:val="20"/>
              </w:rPr>
              <w:t>工作日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EC5F7AF">
            <w:pPr>
              <w:pStyle w:val="31"/>
              <w:spacing w:after="93" w:afterLines="30"/>
              <w:ind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本产品所称工作日，是指国家法定工作日。如遇特殊情况，以产品管理人具体公告为准。</w:t>
            </w:r>
          </w:p>
        </w:tc>
      </w:tr>
      <w:tr w14:paraId="6E46ED8B">
        <w:tblPrEx>
          <w:tblCellMar>
            <w:top w:w="0" w:type="dxa"/>
            <w:left w:w="0" w:type="dxa"/>
            <w:bottom w:w="0" w:type="dxa"/>
            <w:right w:w="0" w:type="dxa"/>
          </w:tblCellMar>
        </w:tblPrEx>
        <w:trPr>
          <w:cantSplit/>
          <w:trHeight w:val="717" w:hRule="atLeast"/>
          <w:jc w:val="center"/>
        </w:trPr>
        <w:tc>
          <w:tcPr>
            <w:tcW w:w="1917" w:type="dxa"/>
            <w:tcBorders>
              <w:top w:val="single" w:color="auto" w:sz="4" w:space="0"/>
              <w:left w:val="single" w:color="auto" w:sz="12" w:space="0"/>
              <w:bottom w:val="single" w:color="auto" w:sz="12" w:space="0"/>
              <w:right w:val="single" w:color="auto" w:sz="4" w:space="0"/>
            </w:tcBorders>
            <w:tcMar>
              <w:top w:w="15" w:type="dxa"/>
              <w:left w:w="15" w:type="dxa"/>
              <w:bottom w:w="0" w:type="dxa"/>
              <w:right w:w="15" w:type="dxa"/>
            </w:tcMar>
            <w:vAlign w:val="center"/>
          </w:tcPr>
          <w:p w14:paraId="7DF44278">
            <w:pPr>
              <w:spacing w:after="93" w:afterLines="30"/>
              <w:contextualSpacing/>
              <w:jc w:val="center"/>
              <w:rPr>
                <w:rFonts w:ascii="宋体" w:hAnsi="宋体"/>
                <w:sz w:val="20"/>
                <w:szCs w:val="20"/>
              </w:rPr>
            </w:pPr>
            <w:r>
              <w:rPr>
                <w:rFonts w:hint="eastAsia" w:ascii="宋体" w:hAnsi="宋体"/>
                <w:sz w:val="20"/>
                <w:szCs w:val="20"/>
              </w:rPr>
              <w:t>其他</w:t>
            </w:r>
          </w:p>
        </w:tc>
        <w:tc>
          <w:tcPr>
            <w:tcW w:w="6237" w:type="dxa"/>
            <w:tcBorders>
              <w:top w:val="single" w:color="auto" w:sz="4" w:space="0"/>
              <w:left w:val="nil"/>
              <w:bottom w:val="single" w:color="auto" w:sz="12" w:space="0"/>
              <w:right w:val="single" w:color="auto" w:sz="12" w:space="0"/>
            </w:tcBorders>
            <w:tcMar>
              <w:top w:w="15" w:type="dxa"/>
              <w:left w:w="15" w:type="dxa"/>
              <w:bottom w:w="0" w:type="dxa"/>
              <w:right w:w="15" w:type="dxa"/>
            </w:tcMar>
            <w:vAlign w:val="center"/>
          </w:tcPr>
          <w:p w14:paraId="7FEAF677">
            <w:pPr>
              <w:spacing w:after="93" w:afterLines="30"/>
              <w:ind w:firstLine="402" w:firstLineChars="200"/>
              <w:contextualSpacing/>
              <w:jc w:val="left"/>
              <w:rPr>
                <w:rFonts w:ascii="宋体" w:hAnsi="宋体"/>
                <w:b/>
                <w:sz w:val="20"/>
                <w:szCs w:val="20"/>
              </w:rPr>
            </w:pPr>
            <w:r>
              <w:rPr>
                <w:rFonts w:hint="eastAsia" w:ascii="宋体" w:hAnsi="宋体"/>
                <w:b/>
                <w:sz w:val="20"/>
                <w:szCs w:val="20"/>
              </w:rPr>
              <w:t>投资者若购买本产品后欲对约定交易账户办理销户，需确保在本产品份额全额兑付后办理。</w:t>
            </w:r>
          </w:p>
        </w:tc>
      </w:tr>
    </w:tbl>
    <w:p w14:paraId="3AAF2235">
      <w:pPr>
        <w:pStyle w:val="5"/>
        <w:tabs>
          <w:tab w:val="left" w:pos="720"/>
        </w:tabs>
        <w:spacing w:after="93" w:afterLines="30"/>
        <w:ind w:leftChars="0"/>
        <w:rPr>
          <w:rFonts w:ascii="宋体" w:hAnsi="宋体"/>
          <w:b/>
          <w:szCs w:val="20"/>
        </w:rPr>
      </w:pPr>
    </w:p>
    <w:p w14:paraId="35534D48">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二、投资管理</w:t>
      </w:r>
    </w:p>
    <w:p w14:paraId="09225D47">
      <w:pPr>
        <w:spacing w:after="93" w:afterLines="30"/>
        <w:ind w:firstLine="402" w:firstLineChars="200"/>
        <w:rPr>
          <w:rFonts w:ascii="宋体" w:hAnsi="宋体"/>
          <w:b/>
          <w:sz w:val="20"/>
          <w:szCs w:val="20"/>
        </w:rPr>
      </w:pPr>
      <w:r>
        <w:rPr>
          <w:rFonts w:hint="eastAsia" w:ascii="宋体" w:hAnsi="宋体"/>
          <w:b/>
          <w:sz w:val="20"/>
          <w:szCs w:val="20"/>
        </w:rPr>
        <w:t>（一）投资范围和投资比例</w:t>
      </w:r>
    </w:p>
    <w:p w14:paraId="15DEADFA">
      <w:pPr>
        <w:spacing w:after="93" w:afterLines="30"/>
        <w:ind w:firstLine="400" w:firstLineChars="200"/>
        <w:rPr>
          <w:rFonts w:ascii="宋体" w:hAnsi="宋体" w:cs="彩虹粗仿宋"/>
          <w:sz w:val="20"/>
          <w:szCs w:val="20"/>
        </w:rPr>
      </w:pPr>
      <w:r>
        <w:rPr>
          <w:rFonts w:hint="eastAsia" w:ascii="宋体" w:hAnsi="宋体" w:cs="彩虹粗仿宋"/>
          <w:sz w:val="20"/>
          <w:szCs w:val="20"/>
        </w:rPr>
        <w:t>固定收益类资产：包括现金、银行存款、同业存单、大额可转让存单、货币市场基金、债券回购、国债、金融债、中央银行票据、公司债券、企业债券、非公开定向债务融资工具、可转换债券、可交换债券、短期融资券、中期票据、超短期融资券、二级资本债、永续债、资产证券化产品、债券基金、债券借贷、证券公司收益凭证、非标准化债权类资产及其他符合监管要求的固定收益类资产。</w:t>
      </w:r>
    </w:p>
    <w:p w14:paraId="7D9718A6">
      <w:pPr>
        <w:ind w:firstLine="402"/>
        <w:rPr>
          <w:rFonts w:ascii="宋体" w:hAnsi="宋体"/>
          <w:sz w:val="20"/>
          <w:szCs w:val="20"/>
        </w:rPr>
      </w:pPr>
      <w:r>
        <w:rPr>
          <w:rFonts w:hint="eastAsia" w:ascii="宋体" w:hAnsi="宋体"/>
          <w:color w:val="000000"/>
          <w:sz w:val="20"/>
          <w:szCs w:val="20"/>
        </w:rPr>
        <w:t>各类资产的投资比例为：固定收益类资产比例为80%-100%，其他资产比例为0%-20%。</w:t>
      </w:r>
      <w:r>
        <w:rPr>
          <w:rFonts w:hint="eastAsia" w:ascii="宋体" w:hAnsi="宋体"/>
          <w:b/>
          <w:sz w:val="20"/>
          <w:szCs w:val="20"/>
        </w:rPr>
        <w:t>本产品投资不存在活跃交易市场，并且需要采用估值技术确定公允价值的资产可能超过本产品净资产的</w:t>
      </w:r>
      <w:r>
        <w:rPr>
          <w:rFonts w:ascii="宋体" w:hAnsi="宋体"/>
          <w:b/>
          <w:sz w:val="20"/>
          <w:szCs w:val="20"/>
        </w:rPr>
        <w:t>50%。</w:t>
      </w:r>
    </w:p>
    <w:p w14:paraId="49D6FEA6">
      <w:pPr>
        <w:spacing w:after="93" w:afterLines="30"/>
        <w:ind w:firstLine="400" w:firstLineChars="200"/>
        <w:rPr>
          <w:rFonts w:ascii="宋体" w:hAnsi="宋体"/>
          <w:sz w:val="20"/>
          <w:szCs w:val="20"/>
        </w:rPr>
      </w:pPr>
      <w:r>
        <w:rPr>
          <w:rFonts w:hint="eastAsia" w:ascii="宋体" w:hAnsi="宋体"/>
          <w:sz w:val="20"/>
          <w:szCs w:val="20"/>
        </w:rPr>
        <w:t>在资产管理过程中,非因产品管理人主观因素导致投资比例暂时超出上述区间，产品管理人将在流动性受限资产可出售、可转让或者恢复交易的15个交易日内将本产品投资比例调整至上述比例范围，监管部门规定的特殊情形除外。</w:t>
      </w:r>
    </w:p>
    <w:p w14:paraId="201AD0C0">
      <w:pPr>
        <w:spacing w:after="93" w:afterLines="30"/>
        <w:ind w:firstLine="402" w:firstLineChars="200"/>
        <w:rPr>
          <w:rFonts w:ascii="宋体" w:hAnsi="宋体"/>
          <w:b/>
          <w:sz w:val="20"/>
          <w:szCs w:val="20"/>
        </w:rPr>
      </w:pPr>
      <w:r>
        <w:rPr>
          <w:rFonts w:hint="eastAsia" w:ascii="宋体" w:hAnsi="宋体"/>
          <w:b/>
          <w:sz w:val="20"/>
          <w:szCs w:val="20"/>
        </w:rPr>
        <w:t>产品管理人有权对投资范围和投资资产种类进行调整，并至少提前</w:t>
      </w:r>
      <w:r>
        <w:rPr>
          <w:rFonts w:ascii="宋体" w:hAnsi="宋体"/>
          <w:b/>
          <w:sz w:val="20"/>
          <w:szCs w:val="20"/>
        </w:rPr>
        <w:t>2个工作日进行信息披露。</w:t>
      </w:r>
    </w:p>
    <w:p w14:paraId="317AAD47">
      <w:pPr>
        <w:spacing w:after="93" w:afterLines="30"/>
        <w:ind w:firstLine="402" w:firstLineChars="200"/>
        <w:rPr>
          <w:rFonts w:ascii="宋体" w:hAnsi="宋体"/>
          <w:b/>
          <w:sz w:val="20"/>
          <w:szCs w:val="20"/>
        </w:rPr>
      </w:pPr>
      <w:r>
        <w:rPr>
          <w:rFonts w:hint="eastAsia" w:ascii="宋体" w:hAnsi="宋体"/>
          <w:b/>
          <w:sz w:val="20"/>
          <w:szCs w:val="20"/>
        </w:rPr>
        <w:t>产品管理人有权对投资比例进行调整，并至少提前</w:t>
      </w:r>
      <w:r>
        <w:rPr>
          <w:rFonts w:ascii="宋体" w:hAnsi="宋体"/>
          <w:b/>
          <w:sz w:val="20"/>
          <w:szCs w:val="20"/>
        </w:rPr>
        <w:t>2个工作日进行信息披露。如投资者不接受的，可在信息披露生效前赎回本产品，此种情况下</w:t>
      </w:r>
      <w:r>
        <w:rPr>
          <w:rFonts w:hint="eastAsia" w:ascii="宋体" w:hAnsi="宋体"/>
          <w:b/>
          <w:sz w:val="20"/>
          <w:szCs w:val="20"/>
        </w:rPr>
        <w:t>产品管理人将可能开放特殊赎回期间，具体以届时产品管理人信息披露为准。</w:t>
      </w:r>
    </w:p>
    <w:p w14:paraId="79C1B00F">
      <w:pPr>
        <w:spacing w:after="93" w:afterLines="30"/>
        <w:ind w:firstLine="402" w:firstLineChars="200"/>
        <w:rPr>
          <w:rFonts w:ascii="宋体" w:hAnsi="宋体"/>
          <w:b/>
          <w:sz w:val="20"/>
          <w:szCs w:val="20"/>
        </w:rPr>
      </w:pPr>
      <w:r>
        <w:rPr>
          <w:rFonts w:hint="eastAsia" w:ascii="宋体" w:hAnsi="宋体"/>
          <w:b/>
          <w:sz w:val="20"/>
          <w:szCs w:val="20"/>
        </w:rPr>
        <w:t>（二）投资限制</w:t>
      </w:r>
    </w:p>
    <w:p w14:paraId="398E28C4">
      <w:pPr>
        <w:ind w:firstLine="400"/>
        <w:rPr>
          <w:rFonts w:ascii="宋体" w:hAnsi="宋体"/>
          <w:sz w:val="20"/>
          <w:szCs w:val="20"/>
        </w:rPr>
      </w:pPr>
      <w:r>
        <w:rPr>
          <w:rFonts w:hint="eastAsia" w:ascii="宋体" w:hAnsi="宋体"/>
          <w:sz w:val="20"/>
          <w:szCs w:val="20"/>
        </w:rPr>
        <w:t>1</w:t>
      </w:r>
      <w:r>
        <w:rPr>
          <w:rFonts w:ascii="宋体" w:hAnsi="宋体"/>
          <w:sz w:val="20"/>
          <w:szCs w:val="20"/>
        </w:rPr>
        <w:t>.</w:t>
      </w:r>
      <w:r>
        <w:rPr>
          <w:rFonts w:hint="eastAsia" w:ascii="宋体" w:hAnsi="宋体"/>
          <w:sz w:val="20"/>
          <w:szCs w:val="20"/>
        </w:rPr>
        <w:t>本产品的总资产不得超过净资产的</w:t>
      </w:r>
      <w:r>
        <w:rPr>
          <w:rFonts w:ascii="宋体" w:hAnsi="宋体"/>
          <w:sz w:val="20"/>
          <w:szCs w:val="20"/>
        </w:rPr>
        <w:t>160</w:t>
      </w:r>
      <w:r>
        <w:rPr>
          <w:rFonts w:hint="eastAsia" w:ascii="宋体" w:hAnsi="宋体"/>
          <w:sz w:val="20"/>
          <w:szCs w:val="20"/>
        </w:rPr>
        <w:t>%。</w:t>
      </w:r>
    </w:p>
    <w:p w14:paraId="08103DCC">
      <w:pPr>
        <w:ind w:firstLine="400"/>
        <w:rPr>
          <w:rFonts w:ascii="宋体" w:hAnsi="宋体"/>
          <w:sz w:val="20"/>
          <w:szCs w:val="20"/>
        </w:rPr>
      </w:pPr>
      <w:r>
        <w:rPr>
          <w:rFonts w:ascii="宋体" w:hAnsi="宋体"/>
          <w:sz w:val="20"/>
          <w:szCs w:val="20"/>
        </w:rPr>
        <w:t>2.</w:t>
      </w:r>
      <w:r>
        <w:rPr>
          <w:rFonts w:hint="eastAsia" w:ascii="宋体" w:hAnsi="宋体"/>
          <w:sz w:val="20"/>
          <w:szCs w:val="20"/>
        </w:rPr>
        <w:t>国务院银行业监督管理机构另有规定的除外。</w:t>
      </w:r>
    </w:p>
    <w:p w14:paraId="1DEACFA8">
      <w:pPr>
        <w:ind w:firstLine="402"/>
        <w:rPr>
          <w:rFonts w:ascii="宋体" w:hAnsi="宋体"/>
          <w:sz w:val="20"/>
        </w:rPr>
      </w:pPr>
      <w:r>
        <w:rPr>
          <w:rFonts w:hint="eastAsia" w:ascii="宋体" w:hAnsi="宋体"/>
          <w:b/>
          <w:sz w:val="20"/>
          <w:szCs w:val="20"/>
        </w:rPr>
        <w:t>法律法规或监管部门取消上述限制，如适用于本产品，产品管理人在履行适当程序后，则本产品投资不再受相关限制。</w:t>
      </w:r>
    </w:p>
    <w:p w14:paraId="7D8FA809">
      <w:pPr>
        <w:spacing w:after="93" w:afterLines="30"/>
        <w:ind w:firstLine="402" w:firstLineChars="200"/>
        <w:rPr>
          <w:rFonts w:ascii="宋体" w:hAnsi="宋体"/>
          <w:b/>
          <w:sz w:val="20"/>
          <w:szCs w:val="20"/>
        </w:rPr>
      </w:pPr>
      <w:r>
        <w:rPr>
          <w:rFonts w:hint="eastAsia" w:ascii="宋体" w:hAnsi="宋体"/>
          <w:b/>
          <w:sz w:val="20"/>
          <w:szCs w:val="20"/>
        </w:rPr>
        <w:t>（三）投资团队</w:t>
      </w:r>
    </w:p>
    <w:p w14:paraId="598DD218">
      <w:pPr>
        <w:spacing w:after="93" w:afterLines="30"/>
        <w:ind w:firstLine="400" w:firstLineChars="200"/>
        <w:rPr>
          <w:rFonts w:ascii="宋体" w:hAnsi="宋体"/>
          <w:color w:val="000000"/>
          <w:sz w:val="20"/>
          <w:szCs w:val="20"/>
        </w:rPr>
      </w:pPr>
      <w:r>
        <w:rPr>
          <w:rFonts w:hint="eastAsia" w:ascii="宋体" w:hAnsi="宋体"/>
          <w:color w:val="000000"/>
          <w:sz w:val="20"/>
          <w:szCs w:val="20"/>
        </w:rPr>
        <w:t>产品管理人拥有专业化的理财产品投资管理团队和丰富的投资经验。产品管理人秉承稳健经营的传统，发挥自身优势，为产品运作管理提供专业的投资管理服务，力争帮助投资者实现收益。</w:t>
      </w:r>
    </w:p>
    <w:p w14:paraId="27164D11">
      <w:pPr>
        <w:spacing w:after="93" w:afterLines="30"/>
        <w:ind w:firstLine="402" w:firstLineChars="200"/>
        <w:rPr>
          <w:rFonts w:ascii="宋体" w:hAnsi="宋体"/>
          <w:b/>
          <w:sz w:val="20"/>
          <w:szCs w:val="20"/>
        </w:rPr>
      </w:pPr>
      <w:r>
        <w:rPr>
          <w:rFonts w:hint="eastAsia" w:ascii="宋体" w:hAnsi="宋体"/>
          <w:b/>
          <w:sz w:val="20"/>
          <w:szCs w:val="20"/>
        </w:rPr>
        <w:t>（四）业绩比较基准</w:t>
      </w:r>
    </w:p>
    <w:p w14:paraId="3020D3D2">
      <w:pPr>
        <w:spacing w:after="93" w:afterLines="30"/>
        <w:ind w:firstLine="400" w:firstLineChars="200"/>
        <w:rPr>
          <w:rFonts w:ascii="宋体" w:hAnsi="宋体"/>
          <w:color w:val="000000"/>
          <w:sz w:val="20"/>
          <w:szCs w:val="20"/>
        </w:rPr>
      </w:pPr>
      <w:r>
        <w:rPr>
          <w:rFonts w:hint="eastAsia" w:ascii="宋体" w:hAnsi="宋体"/>
          <w:sz w:val="20"/>
        </w:rPr>
        <w:t>业绩比较基准为2.45%（年化）。</w:t>
      </w:r>
      <w:r>
        <w:rPr>
          <w:rFonts w:hint="eastAsia" w:ascii="宋体" w:hAnsi="宋体"/>
          <w:color w:val="000000"/>
          <w:sz w:val="20"/>
          <w:szCs w:val="20"/>
        </w:rPr>
        <w:t>本理财产品为固定收益类产品，产品投资于现金类资产、货币市场工具、货币市场基金和债券型基金等证券投资基金、标准化固定收益类资产、非标准化债权类资产、其他符合监管要求的资产。投资于现金类资产、货币市场工具、标准化固定收益类资产和非标准化债权类资产的比例不低于80%，综合运用杠杆套息、利差交易、久期调整等投资策略对投资组合进行收益增厚，杠杆率不超1</w:t>
      </w:r>
      <w:r>
        <w:rPr>
          <w:rFonts w:ascii="宋体" w:hAnsi="宋体"/>
          <w:color w:val="000000"/>
          <w:sz w:val="20"/>
          <w:szCs w:val="20"/>
        </w:rPr>
        <w:t>6</w:t>
      </w:r>
      <w:r>
        <w:rPr>
          <w:rFonts w:hint="eastAsia" w:ascii="宋体" w:hAnsi="宋体"/>
          <w:color w:val="000000"/>
          <w:sz w:val="20"/>
          <w:szCs w:val="20"/>
        </w:rPr>
        <w:t>0%。</w:t>
      </w:r>
    </w:p>
    <w:p w14:paraId="7EE14EF6">
      <w:pPr>
        <w:spacing w:after="93" w:afterLines="30"/>
        <w:ind w:firstLine="400" w:firstLineChars="200"/>
        <w:rPr>
          <w:rFonts w:ascii="宋体" w:hAnsi="宋体"/>
          <w:b/>
          <w:sz w:val="20"/>
        </w:rPr>
      </w:pPr>
      <w:r>
        <w:rPr>
          <w:rFonts w:hint="eastAsia" w:ascii="宋体" w:hAnsi="宋体"/>
          <w:color w:val="000000"/>
          <w:sz w:val="20"/>
          <w:szCs w:val="20"/>
        </w:rPr>
        <w:t>业绩比较基准选择原因及测算依据：管理人基于现阶段市场情况、资产收益以及产品投资范围、投资策略制定业绩比较基准。</w:t>
      </w:r>
      <w:bookmarkStart w:id="3" w:name="_GoBack"/>
      <w:r>
        <w:rPr>
          <w:rFonts w:hint="eastAsia" w:ascii="宋体" w:hAnsi="宋体"/>
          <w:color w:val="000000"/>
          <w:sz w:val="20"/>
          <w:szCs w:val="20"/>
        </w:rPr>
        <w:t>以产品投资于利率债仓位0-10%，信用债及非标准化债权类资产仓位10-100%为例，业绩比较基准参考中债-综合财富（1-3）年指数收益率、期限匹配的非标资产收益率，考虑资本利得收益并结合产品投资策略进行测算，扣除销售费、管理费、托管费等费用，确定本理财产品</w:t>
      </w:r>
      <w:r>
        <w:rPr>
          <w:rFonts w:hint="eastAsia" w:ascii="宋体" w:hAnsi="宋体"/>
          <w:sz w:val="20"/>
        </w:rPr>
        <w:t>业绩比较基准为2.45%</w:t>
      </w:r>
      <w:r>
        <w:rPr>
          <w:rFonts w:hint="eastAsia" w:ascii="宋体" w:hAnsi="宋体"/>
          <w:sz w:val="20"/>
          <w:szCs w:val="20"/>
        </w:rPr>
        <w:t>（年化）</w:t>
      </w:r>
      <w:bookmarkEnd w:id="3"/>
      <w:r>
        <w:rPr>
          <w:rFonts w:hint="eastAsia" w:ascii="宋体" w:hAnsi="宋体"/>
          <w:sz w:val="20"/>
          <w:szCs w:val="20"/>
        </w:rPr>
        <w:t>。</w:t>
      </w:r>
      <w:r>
        <w:rPr>
          <w:rFonts w:ascii="宋体" w:hAnsi="宋体"/>
          <w:b/>
          <w:sz w:val="20"/>
        </w:rPr>
        <w:t>(</w:t>
      </w:r>
      <w:r>
        <w:rPr>
          <w:rFonts w:hint="eastAsia" w:ascii="宋体" w:hAnsi="宋体"/>
          <w:b/>
          <w:sz w:val="20"/>
        </w:rPr>
        <w:t>产品示例仅供参考，具体投资比例可根据各类资产的收益水平、流动性特征、信用风险等因素动态调整，投资范围和投资比例等详见本产品说明书第二章“投资管理”部分。</w:t>
      </w:r>
      <w:r>
        <w:rPr>
          <w:rFonts w:ascii="宋体" w:hAnsi="宋体"/>
          <w:b/>
          <w:sz w:val="20"/>
        </w:rPr>
        <w:t>)</w:t>
      </w:r>
      <w:r>
        <w:rPr>
          <w:rFonts w:ascii="宋体" w:hAnsi="宋体"/>
          <w:b/>
          <w:sz w:val="20"/>
          <w:szCs w:val="20"/>
        </w:rPr>
        <w:t xml:space="preserve"> </w:t>
      </w:r>
    </w:p>
    <w:p w14:paraId="10F7F0A7">
      <w:pPr>
        <w:spacing w:after="93" w:afterLines="30"/>
        <w:ind w:firstLine="402" w:firstLineChars="200"/>
        <w:rPr>
          <w:rFonts w:ascii="宋体" w:hAnsi="宋体"/>
          <w:sz w:val="20"/>
          <w:szCs w:val="20"/>
        </w:rPr>
      </w:pPr>
      <w:r>
        <w:rPr>
          <w:rFonts w:hint="eastAsia" w:ascii="宋体" w:hAnsi="宋体"/>
          <w:b/>
          <w:sz w:val="20"/>
          <w:szCs w:val="20"/>
        </w:rPr>
        <w:t>业绩比较基准是产品管理人基于产品性质、投资策略、过往经验等因素对产品设定的投资目标，将作为计算产品管理人超额业绩报酬的标准。业绩比较基准不是预期收益率，不代表产品的未来表现和实际收益，不构成对该理财产品的任何收益承诺。当监管政策、市场环境、产品性质等因素发生变化，导致理财产品的业绩比较基准必须进行调整时，产品管理人有权调整产品业绩比较基准。</w:t>
      </w:r>
    </w:p>
    <w:p w14:paraId="3D5B130C">
      <w:pPr>
        <w:spacing w:after="93" w:afterLines="30"/>
        <w:ind w:firstLine="402" w:firstLineChars="200"/>
        <w:rPr>
          <w:rFonts w:ascii="宋体" w:hAnsi="宋体"/>
          <w:b/>
          <w:sz w:val="20"/>
          <w:szCs w:val="20"/>
        </w:rPr>
      </w:pPr>
      <w:r>
        <w:rPr>
          <w:rFonts w:hint="eastAsia" w:ascii="宋体" w:hAnsi="宋体"/>
          <w:b/>
          <w:sz w:val="20"/>
          <w:szCs w:val="20"/>
        </w:rPr>
        <w:t>（五）参与主体</w:t>
      </w:r>
    </w:p>
    <w:p w14:paraId="06504EDF">
      <w:pPr>
        <w:spacing w:after="93" w:afterLines="30"/>
        <w:ind w:firstLine="400" w:firstLineChars="200"/>
        <w:rPr>
          <w:rFonts w:ascii="宋体" w:hAnsi="宋体"/>
          <w:sz w:val="20"/>
          <w:szCs w:val="20"/>
        </w:rPr>
      </w:pPr>
      <w:r>
        <w:rPr>
          <w:rFonts w:hint="eastAsia" w:ascii="宋体" w:hAnsi="宋体"/>
          <w:sz w:val="20"/>
          <w:szCs w:val="20"/>
        </w:rPr>
        <w:t>1.产品管理人：建信理财有限责任公司</w:t>
      </w:r>
    </w:p>
    <w:p w14:paraId="7B8BDEBD">
      <w:pPr>
        <w:spacing w:after="93" w:afterLines="30"/>
        <w:ind w:firstLine="400" w:firstLineChars="200"/>
        <w:rPr>
          <w:rFonts w:ascii="宋体" w:hAnsi="宋体"/>
          <w:sz w:val="20"/>
          <w:szCs w:val="20"/>
        </w:rPr>
      </w:pPr>
      <w:r>
        <w:rPr>
          <w:rFonts w:hint="eastAsia" w:ascii="宋体" w:hAnsi="宋体"/>
          <w:sz w:val="20"/>
          <w:szCs w:val="20"/>
        </w:rPr>
        <w:t>2.产品托管人：中国建设银行股份有限公司</w:t>
      </w:r>
    </w:p>
    <w:p w14:paraId="5326EA65">
      <w:pPr>
        <w:spacing w:after="93" w:afterLines="30"/>
        <w:ind w:firstLine="400" w:firstLineChars="200"/>
        <w:rPr>
          <w:rFonts w:ascii="宋体" w:hAnsi="宋体"/>
          <w:sz w:val="20"/>
          <w:szCs w:val="20"/>
        </w:rPr>
      </w:pPr>
      <w:r>
        <w:rPr>
          <w:rFonts w:hint="eastAsia" w:ascii="宋体" w:hAnsi="宋体"/>
          <w:sz w:val="20"/>
          <w:szCs w:val="20"/>
        </w:rPr>
        <w:t>住所：中国北京西城区金融大街25号</w:t>
      </w:r>
    </w:p>
    <w:p w14:paraId="0EFA93E8">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主要职责：根据法律法规和合同约定，提供托管资产保管、办理托管资产名下资金清算、进行托管资产会计核算和估值，监督管理人投资运作等服务。</w:t>
      </w:r>
    </w:p>
    <w:p w14:paraId="3DF3820C">
      <w:pPr>
        <w:spacing w:after="93" w:afterLines="30"/>
        <w:ind w:firstLine="400" w:firstLineChars="200"/>
        <w:rPr>
          <w:rFonts w:ascii="宋体" w:hAnsi="宋体"/>
          <w:sz w:val="20"/>
          <w:szCs w:val="20"/>
        </w:rPr>
      </w:pPr>
      <w:r>
        <w:rPr>
          <w:rFonts w:hint="eastAsia" w:ascii="宋体" w:hAnsi="宋体"/>
          <w:sz w:val="20"/>
          <w:szCs w:val="20"/>
        </w:rPr>
        <w:t>3.理财产品代销机构：中国建设银行股份有限公司</w:t>
      </w:r>
    </w:p>
    <w:p w14:paraId="3222756F">
      <w:pPr>
        <w:spacing w:after="93" w:afterLines="30"/>
        <w:ind w:firstLine="400" w:firstLineChars="200"/>
        <w:rPr>
          <w:rFonts w:ascii="宋体" w:hAnsi="宋体"/>
          <w:sz w:val="20"/>
          <w:szCs w:val="20"/>
        </w:rPr>
      </w:pPr>
      <w:r>
        <w:rPr>
          <w:rFonts w:hint="eastAsia" w:ascii="宋体" w:hAnsi="宋体"/>
          <w:sz w:val="20"/>
          <w:szCs w:val="20"/>
        </w:rPr>
        <w:t>住所：中国北京西城区金融大街25号</w:t>
      </w:r>
    </w:p>
    <w:p w14:paraId="06813DBB">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主要职责：根据法律法规和合同约定，为投资者提供交易账户办理、产品交易等支持、销售咨询等服务。</w:t>
      </w:r>
    </w:p>
    <w:p w14:paraId="1F1B3AF0">
      <w:pPr>
        <w:spacing w:after="93" w:afterLines="30"/>
        <w:ind w:firstLine="400" w:firstLineChars="200"/>
        <w:rPr>
          <w:rFonts w:ascii="宋体" w:hAnsi="宋体"/>
          <w:sz w:val="20"/>
          <w:szCs w:val="20"/>
        </w:rPr>
      </w:pPr>
      <w:r>
        <w:rPr>
          <w:rFonts w:hint="eastAsia" w:ascii="宋体" w:hAnsi="宋体"/>
          <w:sz w:val="20"/>
          <w:szCs w:val="20"/>
        </w:rPr>
        <w:t>4.理财投资合作机构：</w:t>
      </w:r>
    </w:p>
    <w:p w14:paraId="4E56C8C5">
      <w:pPr>
        <w:spacing w:after="93" w:afterLines="30"/>
        <w:ind w:firstLine="360"/>
        <w:rPr>
          <w:rFonts w:ascii="宋体" w:hAnsi="宋体"/>
          <w:sz w:val="20"/>
          <w:szCs w:val="20"/>
        </w:rPr>
      </w:pPr>
      <w:r>
        <w:rPr>
          <w:rFonts w:hint="eastAsia" w:ascii="宋体" w:hAnsi="宋体"/>
          <w:sz w:val="20"/>
          <w:szCs w:val="20"/>
        </w:rPr>
        <w:t xml:space="preserve">（1）中信证券股份有限公司 </w:t>
      </w:r>
    </w:p>
    <w:p w14:paraId="08E99FAF">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3F4B5841">
      <w:pPr>
        <w:spacing w:after="93" w:afterLines="30"/>
        <w:ind w:firstLine="360"/>
        <w:rPr>
          <w:rFonts w:ascii="宋体" w:hAnsi="宋体"/>
          <w:sz w:val="20"/>
          <w:szCs w:val="20"/>
        </w:rPr>
      </w:pPr>
      <w:r>
        <w:rPr>
          <w:rFonts w:hint="eastAsia" w:ascii="宋体" w:hAnsi="宋体"/>
          <w:sz w:val="20"/>
          <w:szCs w:val="20"/>
        </w:rPr>
        <w:t xml:space="preserve">住所：广东省深圳市福田区中心三路8号卓越时代广场（二期）北座 </w:t>
      </w:r>
    </w:p>
    <w:p w14:paraId="11F87B42">
      <w:pPr>
        <w:spacing w:after="93" w:afterLines="30"/>
        <w:ind w:firstLine="360"/>
        <w:rPr>
          <w:rFonts w:ascii="宋体" w:hAnsi="宋体"/>
          <w:sz w:val="20"/>
          <w:szCs w:val="20"/>
        </w:rPr>
      </w:pPr>
      <w:r>
        <w:rPr>
          <w:rFonts w:hint="eastAsia" w:ascii="宋体" w:hAnsi="宋体"/>
          <w:sz w:val="20"/>
          <w:szCs w:val="20"/>
        </w:rPr>
        <w:t xml:space="preserve">（2）中国国际金融股份有限公司 </w:t>
      </w:r>
    </w:p>
    <w:p w14:paraId="6FDD1022">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57175DDE">
      <w:pPr>
        <w:spacing w:after="93" w:afterLines="30"/>
        <w:ind w:firstLine="360"/>
        <w:rPr>
          <w:rFonts w:ascii="宋体" w:hAnsi="宋体"/>
          <w:sz w:val="20"/>
          <w:szCs w:val="20"/>
        </w:rPr>
      </w:pPr>
      <w:r>
        <w:rPr>
          <w:rFonts w:hint="eastAsia" w:ascii="宋体" w:hAnsi="宋体"/>
          <w:sz w:val="20"/>
          <w:szCs w:val="20"/>
        </w:rPr>
        <w:t xml:space="preserve">住所：北京市朝阳区建国门外大街1号国贸大厦2座27层及28层 </w:t>
      </w:r>
    </w:p>
    <w:p w14:paraId="324E8833">
      <w:pPr>
        <w:spacing w:after="93" w:afterLines="30"/>
        <w:ind w:firstLine="360"/>
        <w:rPr>
          <w:rFonts w:ascii="宋体" w:hAnsi="宋体"/>
          <w:sz w:val="20"/>
          <w:szCs w:val="20"/>
        </w:rPr>
      </w:pPr>
      <w:r>
        <w:rPr>
          <w:rFonts w:hint="eastAsia" w:ascii="宋体" w:hAnsi="宋体"/>
          <w:sz w:val="20"/>
          <w:szCs w:val="20"/>
        </w:rPr>
        <w:t>（</w:t>
      </w:r>
      <w:r>
        <w:rPr>
          <w:rFonts w:ascii="宋体" w:hAnsi="宋体"/>
          <w:sz w:val="20"/>
          <w:szCs w:val="20"/>
        </w:rPr>
        <w:t>3</w:t>
      </w:r>
      <w:r>
        <w:rPr>
          <w:rFonts w:hint="eastAsia" w:ascii="宋体" w:hAnsi="宋体"/>
          <w:sz w:val="20"/>
          <w:szCs w:val="20"/>
        </w:rPr>
        <w:t xml:space="preserve">）建信基金管理有限责任公司 </w:t>
      </w:r>
    </w:p>
    <w:p w14:paraId="048ABD97">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58121702">
      <w:pPr>
        <w:spacing w:after="93" w:afterLines="30"/>
        <w:ind w:firstLine="360"/>
        <w:rPr>
          <w:rFonts w:ascii="宋体" w:hAnsi="宋体"/>
          <w:sz w:val="20"/>
          <w:szCs w:val="20"/>
        </w:rPr>
      </w:pPr>
      <w:r>
        <w:rPr>
          <w:rFonts w:hint="eastAsia" w:ascii="宋体" w:hAnsi="宋体"/>
          <w:sz w:val="20"/>
          <w:szCs w:val="20"/>
        </w:rPr>
        <w:t xml:space="preserve">住所：北京市西城区金融大街7号英蓝国际金融中心16层 </w:t>
      </w:r>
    </w:p>
    <w:p w14:paraId="7C77DC2F">
      <w:pPr>
        <w:spacing w:after="93" w:afterLines="30"/>
        <w:ind w:firstLine="360"/>
        <w:rPr>
          <w:rFonts w:ascii="宋体" w:hAnsi="宋体"/>
          <w:sz w:val="20"/>
          <w:szCs w:val="20"/>
        </w:rPr>
      </w:pPr>
      <w:r>
        <w:rPr>
          <w:rFonts w:hint="eastAsia" w:ascii="宋体" w:hAnsi="宋体"/>
          <w:sz w:val="20"/>
          <w:szCs w:val="20"/>
        </w:rPr>
        <w:t>（4）建信资本管理有限责任公司</w:t>
      </w:r>
    </w:p>
    <w:p w14:paraId="7F75C938">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766B3AED">
      <w:pPr>
        <w:spacing w:after="93" w:afterLines="30"/>
        <w:ind w:firstLine="360"/>
        <w:rPr>
          <w:rFonts w:ascii="宋体" w:hAnsi="宋体"/>
          <w:sz w:val="20"/>
          <w:szCs w:val="20"/>
        </w:rPr>
      </w:pPr>
      <w:r>
        <w:rPr>
          <w:rFonts w:hint="eastAsia" w:ascii="宋体" w:hAnsi="宋体"/>
          <w:sz w:val="20"/>
          <w:szCs w:val="20"/>
        </w:rPr>
        <w:t xml:space="preserve">住所：北京市西城区金融大街7号英蓝国际金融中心16层 </w:t>
      </w:r>
    </w:p>
    <w:p w14:paraId="447B5BD6">
      <w:pPr>
        <w:spacing w:after="93" w:afterLines="30"/>
        <w:ind w:firstLine="360"/>
        <w:rPr>
          <w:rFonts w:ascii="宋体" w:hAnsi="宋体"/>
          <w:sz w:val="20"/>
          <w:szCs w:val="20"/>
        </w:rPr>
      </w:pPr>
      <w:r>
        <w:rPr>
          <w:rFonts w:hint="eastAsia" w:ascii="宋体" w:hAnsi="宋体"/>
          <w:sz w:val="20"/>
          <w:szCs w:val="20"/>
        </w:rPr>
        <w:t>（5）其他与产品相关的合作机构。</w:t>
      </w:r>
    </w:p>
    <w:p w14:paraId="75DD5C1F">
      <w:pPr>
        <w:spacing w:after="93" w:afterLines="30"/>
        <w:ind w:firstLine="402" w:firstLineChars="200"/>
        <w:rPr>
          <w:rFonts w:ascii="宋体" w:hAnsi="宋体"/>
          <w:b/>
          <w:sz w:val="20"/>
          <w:szCs w:val="20"/>
        </w:rPr>
      </w:pPr>
      <w:r>
        <w:rPr>
          <w:rFonts w:hint="eastAsia" w:ascii="宋体" w:hAnsi="宋体"/>
          <w:b/>
          <w:sz w:val="20"/>
          <w:szCs w:val="20"/>
        </w:rPr>
        <w:t>（六）投资策略</w:t>
      </w:r>
    </w:p>
    <w:p w14:paraId="4F0BDBAB">
      <w:pPr>
        <w:spacing w:after="93" w:afterLines="30"/>
        <w:ind w:firstLine="360"/>
        <w:rPr>
          <w:rFonts w:ascii="宋体" w:hAnsi="宋体"/>
          <w:color w:val="000000"/>
          <w:sz w:val="20"/>
          <w:szCs w:val="20"/>
        </w:rPr>
      </w:pPr>
      <w:r>
        <w:rPr>
          <w:rFonts w:hint="eastAsia" w:ascii="宋体" w:hAnsi="宋体"/>
          <w:color w:val="000000"/>
          <w:sz w:val="20"/>
          <w:szCs w:val="20"/>
        </w:rPr>
        <w:t>1.资产配置策略：本产品以固定收益类资产配置为主，通过分析研判宏观经济走势、国家政策、资本市场资金环境、证券市场走势等，对产品的久期、杠杆水平、债券品种进行动态调整。</w:t>
      </w:r>
    </w:p>
    <w:p w14:paraId="5107C0D7">
      <w:pPr>
        <w:spacing w:after="93" w:afterLines="30"/>
        <w:ind w:firstLine="360"/>
        <w:rPr>
          <w:rFonts w:ascii="宋体" w:hAnsi="宋体"/>
          <w:color w:val="000000"/>
          <w:sz w:val="20"/>
          <w:szCs w:val="20"/>
        </w:rPr>
      </w:pPr>
      <w:r>
        <w:rPr>
          <w:rFonts w:hint="eastAsia" w:ascii="宋体" w:hAnsi="宋体"/>
          <w:color w:val="000000"/>
          <w:sz w:val="20"/>
          <w:szCs w:val="20"/>
        </w:rPr>
        <w:t>2.票息策略：在风险特征类似时，投资票息相对更高的资产，以获得稳定的票息收益。</w:t>
      </w:r>
    </w:p>
    <w:p w14:paraId="7B05B36A">
      <w:pPr>
        <w:spacing w:after="93" w:afterLines="30"/>
        <w:ind w:firstLine="360"/>
        <w:rPr>
          <w:rFonts w:ascii="宋体" w:hAnsi="宋体"/>
          <w:color w:val="000000"/>
          <w:sz w:val="20"/>
          <w:szCs w:val="20"/>
        </w:rPr>
      </w:pPr>
      <w:r>
        <w:rPr>
          <w:rFonts w:hint="eastAsia" w:ascii="宋体" w:hAnsi="宋体"/>
          <w:color w:val="000000"/>
          <w:sz w:val="20"/>
          <w:szCs w:val="20"/>
        </w:rPr>
        <w:t>3.信用利差策略：对信用债券的信用风险等因素进行深入分析，精选有信用利差保护和利差可能收窄的个券。</w:t>
      </w:r>
    </w:p>
    <w:p w14:paraId="034CCE10">
      <w:pPr>
        <w:spacing w:after="93" w:afterLines="30"/>
        <w:ind w:firstLine="360"/>
        <w:rPr>
          <w:rFonts w:ascii="宋体" w:hAnsi="宋体"/>
          <w:color w:val="000000"/>
          <w:sz w:val="20"/>
          <w:szCs w:val="20"/>
        </w:rPr>
      </w:pPr>
      <w:r>
        <w:rPr>
          <w:rFonts w:hint="eastAsia" w:ascii="宋体" w:hAnsi="宋体"/>
          <w:color w:val="000000"/>
          <w:sz w:val="20"/>
          <w:szCs w:val="20"/>
        </w:rPr>
        <w:t>4.久期策略：预期市场利率水平将上升或下降时，相应降低或提高组合久期。</w:t>
      </w:r>
    </w:p>
    <w:p w14:paraId="4E893FF5">
      <w:pPr>
        <w:spacing w:after="93" w:afterLines="30"/>
        <w:ind w:firstLine="360"/>
        <w:rPr>
          <w:rFonts w:ascii="宋体" w:hAnsi="宋体"/>
          <w:color w:val="000000"/>
          <w:sz w:val="20"/>
          <w:szCs w:val="20"/>
        </w:rPr>
      </w:pPr>
      <w:r>
        <w:rPr>
          <w:rFonts w:hint="eastAsia" w:ascii="宋体" w:hAnsi="宋体"/>
          <w:color w:val="000000"/>
          <w:sz w:val="20"/>
          <w:szCs w:val="20"/>
        </w:rPr>
        <w:t>5.杠杆策略：通过债券回购融入资金，配置于收益高于融资成本的资产，从而获得杠杆放大收益。</w:t>
      </w:r>
    </w:p>
    <w:p w14:paraId="60658EED">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三、产品运作说明</w:t>
      </w:r>
    </w:p>
    <w:p w14:paraId="7E87F836">
      <w:pPr>
        <w:spacing w:after="93" w:afterLines="30"/>
        <w:ind w:firstLine="402" w:firstLineChars="200"/>
        <w:rPr>
          <w:rFonts w:ascii="宋体" w:hAnsi="宋体"/>
          <w:b/>
          <w:sz w:val="20"/>
          <w:szCs w:val="20"/>
        </w:rPr>
      </w:pPr>
      <w:r>
        <w:rPr>
          <w:rFonts w:hint="eastAsia" w:ascii="宋体" w:hAnsi="宋体"/>
          <w:b/>
          <w:sz w:val="20"/>
          <w:szCs w:val="20"/>
        </w:rPr>
        <w:t>（一）产品规模</w:t>
      </w:r>
    </w:p>
    <w:p w14:paraId="45B13927">
      <w:pPr>
        <w:spacing w:after="93" w:afterLines="30"/>
        <w:ind w:firstLine="500" w:firstLineChars="250"/>
        <w:rPr>
          <w:rFonts w:ascii="宋体" w:hAnsi="宋体"/>
          <w:sz w:val="20"/>
        </w:rPr>
      </w:pPr>
      <w:r>
        <w:rPr>
          <w:rFonts w:ascii="宋体" w:hAnsi="宋体"/>
          <w:sz w:val="20"/>
        </w:rPr>
        <w:t>1.在</w:t>
      </w:r>
      <w:r>
        <w:rPr>
          <w:rFonts w:hint="eastAsia" w:ascii="宋体" w:hAnsi="宋体"/>
          <w:sz w:val="20"/>
        </w:rPr>
        <w:t>本产品募集期内，</w:t>
      </w:r>
      <w:r>
        <w:rPr>
          <w:rFonts w:hint="eastAsia" w:ascii="宋体" w:hAnsi="宋体"/>
          <w:b/>
          <w:bCs/>
          <w:sz w:val="20"/>
          <w:szCs w:val="20"/>
        </w:rPr>
        <w:t>若认购总额达到本产品规模上限，产品管理人有权利但无义务暂停或停止本产品的认购</w:t>
      </w:r>
      <w:r>
        <w:rPr>
          <w:rFonts w:hint="eastAsia" w:ascii="宋体" w:hAnsi="宋体"/>
          <w:sz w:val="20"/>
        </w:rPr>
        <w:t>，已经认购成功的投资者投资权益不受影响。</w:t>
      </w:r>
    </w:p>
    <w:p w14:paraId="4E2C6B40">
      <w:pPr>
        <w:spacing w:after="93" w:afterLines="30"/>
        <w:ind w:firstLine="500" w:firstLineChars="250"/>
        <w:rPr>
          <w:rFonts w:ascii="宋体" w:hAnsi="宋体" w:cs="宋体"/>
          <w:color w:val="000000"/>
          <w:kern w:val="0"/>
          <w:sz w:val="20"/>
          <w:szCs w:val="20"/>
        </w:rPr>
      </w:pPr>
      <w:r>
        <w:rPr>
          <w:rFonts w:ascii="宋体" w:hAnsi="宋体"/>
          <w:sz w:val="20"/>
        </w:rPr>
        <w:t>2.</w:t>
      </w:r>
      <w:r>
        <w:rPr>
          <w:rFonts w:hint="eastAsia" w:ascii="宋体" w:hAnsi="宋体"/>
          <w:color w:val="000000"/>
          <w:kern w:val="0"/>
          <w:sz w:val="20"/>
        </w:rPr>
        <w:t>若募集期届满，</w:t>
      </w:r>
      <w:r>
        <w:rPr>
          <w:rFonts w:hint="eastAsia" w:ascii="宋体" w:hAnsi="宋体" w:cs="宋体"/>
          <w:b/>
          <w:color w:val="000000"/>
          <w:kern w:val="0"/>
          <w:sz w:val="20"/>
          <w:szCs w:val="20"/>
        </w:rPr>
        <w:t>本</w:t>
      </w:r>
      <w:r>
        <w:rPr>
          <w:rFonts w:hint="eastAsia" w:ascii="宋体" w:hAnsi="宋体"/>
          <w:b/>
          <w:color w:val="000000"/>
          <w:kern w:val="0"/>
          <w:sz w:val="20"/>
        </w:rPr>
        <w:t>产品</w:t>
      </w:r>
      <w:r>
        <w:rPr>
          <w:rFonts w:hint="eastAsia" w:ascii="宋体" w:hAnsi="宋体" w:cs="宋体"/>
          <w:b/>
          <w:color w:val="000000"/>
          <w:kern w:val="0"/>
          <w:sz w:val="20"/>
          <w:szCs w:val="20"/>
        </w:rPr>
        <w:t>认购总额低于规模下限，本产品可正常成立，产品管理人亦有权利但无义务宣布本产品不成立</w:t>
      </w:r>
      <w:r>
        <w:rPr>
          <w:rFonts w:hint="eastAsia" w:ascii="宋体" w:hAnsi="宋体" w:cs="宋体"/>
          <w:color w:val="000000"/>
          <w:kern w:val="0"/>
          <w:sz w:val="20"/>
          <w:szCs w:val="20"/>
        </w:rPr>
        <w:t>。</w:t>
      </w:r>
    </w:p>
    <w:p w14:paraId="6E5E2FE3">
      <w:pPr>
        <w:spacing w:after="93" w:afterLines="30"/>
        <w:ind w:firstLine="402" w:firstLineChars="200"/>
        <w:rPr>
          <w:rFonts w:ascii="宋体" w:hAnsi="宋体"/>
          <w:b/>
          <w:sz w:val="20"/>
          <w:szCs w:val="20"/>
        </w:rPr>
      </w:pPr>
      <w:r>
        <w:rPr>
          <w:rFonts w:hint="eastAsia" w:ascii="宋体" w:hAnsi="宋体"/>
          <w:b/>
          <w:sz w:val="20"/>
          <w:szCs w:val="20"/>
        </w:rPr>
        <w:t>（二）产品认购</w:t>
      </w:r>
    </w:p>
    <w:p w14:paraId="75D8F4AE">
      <w:pPr>
        <w:spacing w:after="93" w:afterLines="30"/>
        <w:ind w:firstLine="360"/>
        <w:rPr>
          <w:rFonts w:ascii="宋体" w:hAnsi="宋体" w:cs="宋体"/>
          <w:b/>
          <w:sz w:val="20"/>
          <w:szCs w:val="20"/>
          <w:lang w:bidi="ar"/>
        </w:rPr>
      </w:pPr>
      <w:r>
        <w:rPr>
          <w:rFonts w:ascii="宋体" w:hAnsi="宋体" w:cs="宋体"/>
          <w:sz w:val="20"/>
          <w:szCs w:val="20"/>
          <w:lang w:bidi="ar"/>
        </w:rPr>
        <w:t>1</w:t>
      </w:r>
      <w:r>
        <w:rPr>
          <w:rFonts w:hint="eastAsia" w:ascii="宋体" w:hAnsi="宋体" w:cs="宋体"/>
          <w:sz w:val="20"/>
          <w:szCs w:val="20"/>
          <w:lang w:bidi="ar"/>
        </w:rPr>
        <w:t>.在产品</w:t>
      </w:r>
      <w:r>
        <w:rPr>
          <w:rFonts w:hint="eastAsia" w:ascii="宋体" w:hAnsi="宋体"/>
          <w:color w:val="000000"/>
          <w:sz w:val="20"/>
          <w:szCs w:val="20"/>
        </w:rPr>
        <w:t>募集期内，投资者认购本产品，应提前将理财资金存入投资者约定交易账户，</w:t>
      </w:r>
      <w:r>
        <w:rPr>
          <w:rFonts w:hint="eastAsia" w:ascii="宋体" w:hAnsi="宋体"/>
          <w:b/>
          <w:color w:val="000000"/>
          <w:sz w:val="20"/>
          <w:szCs w:val="20"/>
        </w:rPr>
        <w:t>认购资金当日冻结，并于产品募集期</w:t>
      </w:r>
      <w:r>
        <w:rPr>
          <w:rFonts w:ascii="宋体" w:hAnsi="宋体"/>
          <w:b/>
          <w:color w:val="000000"/>
          <w:sz w:val="20"/>
          <w:szCs w:val="20"/>
        </w:rPr>
        <w:t>最后一日</w:t>
      </w:r>
      <w:r>
        <w:rPr>
          <w:rFonts w:hint="eastAsia" w:ascii="宋体" w:hAnsi="宋体"/>
          <w:b/>
          <w:color w:val="000000"/>
          <w:sz w:val="20"/>
          <w:szCs w:val="20"/>
        </w:rPr>
        <w:t>进行认购资金扣划</w:t>
      </w:r>
      <w:r>
        <w:rPr>
          <w:rFonts w:hint="eastAsia" w:ascii="宋体" w:hAnsi="宋体"/>
          <w:bCs/>
          <w:color w:val="000000"/>
          <w:sz w:val="20"/>
          <w:szCs w:val="20"/>
        </w:rPr>
        <w:t>。</w:t>
      </w:r>
      <w:r>
        <w:rPr>
          <w:rFonts w:hint="eastAsia" w:ascii="宋体" w:hAnsi="宋体"/>
          <w:b/>
          <w:bCs/>
          <w:color w:val="000000"/>
          <w:sz w:val="20"/>
          <w:szCs w:val="20"/>
        </w:rPr>
        <w:t>认购资金冻结日</w:t>
      </w:r>
      <w:r>
        <w:rPr>
          <w:rFonts w:hint="eastAsia" w:ascii="宋体" w:hAnsi="宋体" w:cs="宋体"/>
          <w:b/>
          <w:sz w:val="20"/>
          <w:szCs w:val="20"/>
          <w:lang w:bidi="ar"/>
        </w:rPr>
        <w:t>至募集结束前一日，</w:t>
      </w:r>
      <w:r>
        <w:rPr>
          <w:rFonts w:hint="eastAsia" w:ascii="宋体" w:hAnsi="宋体"/>
          <w:b/>
          <w:color w:val="000000"/>
          <w:sz w:val="20"/>
          <w:szCs w:val="20"/>
        </w:rPr>
        <w:t>投资者可获得认购资金的活期利息，且利息不计入投资本金，</w:t>
      </w:r>
      <w:r>
        <w:rPr>
          <w:rFonts w:hint="eastAsia" w:ascii="宋体" w:hAnsi="宋体" w:cs="宋体"/>
          <w:b/>
          <w:sz w:val="20"/>
          <w:szCs w:val="20"/>
          <w:lang w:bidi="ar"/>
        </w:rPr>
        <w:t>募集期结束日当天资金不计息。</w:t>
      </w:r>
    </w:p>
    <w:p w14:paraId="0B51BE20">
      <w:pPr>
        <w:spacing w:after="93" w:afterLines="30"/>
        <w:ind w:firstLine="360"/>
        <w:rPr>
          <w:rFonts w:ascii="宋体" w:hAnsi="宋体"/>
          <w:b/>
          <w:color w:val="000000"/>
          <w:sz w:val="20"/>
        </w:rPr>
      </w:pPr>
      <w:r>
        <w:rPr>
          <w:rFonts w:ascii="宋体" w:hAnsi="宋体"/>
          <w:b/>
          <w:color w:val="000000"/>
          <w:sz w:val="20"/>
        </w:rPr>
        <w:t>2.</w:t>
      </w:r>
      <w:r>
        <w:rPr>
          <w:rFonts w:ascii="宋体" w:hAnsi="宋体"/>
          <w:b/>
          <w:color w:val="000000"/>
          <w:sz w:val="20"/>
          <w:szCs w:val="20"/>
        </w:rPr>
        <w:t>单个投资者持仓比例限制：本产品不设单个投资者持仓比例限制，可能出现单一投资者持有份额超过总份额50%的情形。</w:t>
      </w:r>
    </w:p>
    <w:p w14:paraId="5F587C35">
      <w:pPr>
        <w:spacing w:after="93" w:afterLines="30"/>
        <w:ind w:firstLine="360"/>
        <w:rPr>
          <w:rFonts w:ascii="宋体" w:hAnsi="宋体"/>
          <w:b/>
          <w:color w:val="000000"/>
          <w:sz w:val="20"/>
        </w:rPr>
      </w:pPr>
      <w:r>
        <w:rPr>
          <w:rFonts w:ascii="宋体" w:hAnsi="宋体"/>
          <w:color w:val="000000"/>
          <w:sz w:val="20"/>
          <w:szCs w:val="20"/>
        </w:rPr>
        <w:t>3</w:t>
      </w:r>
      <w:r>
        <w:rPr>
          <w:rFonts w:hint="eastAsia" w:ascii="宋体" w:hAnsi="宋体"/>
          <w:color w:val="000000"/>
          <w:sz w:val="20"/>
          <w:szCs w:val="20"/>
        </w:rPr>
        <w:t>.</w:t>
      </w:r>
      <w:r>
        <w:rPr>
          <w:rFonts w:hint="eastAsia" w:ascii="宋体" w:hAnsi="宋体"/>
          <w:b/>
          <w:color w:val="000000"/>
          <w:sz w:val="20"/>
        </w:rPr>
        <w:t>若出现如下情况之一，产品管理人有权利但无义务拒绝或暂停接受客户的认购申请：</w:t>
      </w:r>
      <w:r>
        <w:rPr>
          <w:rFonts w:ascii="宋体" w:hAnsi="宋体"/>
          <w:b/>
          <w:color w:val="000000"/>
          <w:sz w:val="20"/>
        </w:rPr>
        <w:t xml:space="preserve">  </w:t>
      </w:r>
    </w:p>
    <w:p w14:paraId="44F72DC2">
      <w:pPr>
        <w:spacing w:after="93" w:afterLines="30"/>
        <w:ind w:firstLine="360"/>
        <w:rPr>
          <w:rFonts w:ascii="宋体" w:hAnsi="宋体"/>
          <w:b/>
          <w:color w:val="000000"/>
          <w:sz w:val="20"/>
        </w:rPr>
      </w:pPr>
      <w:r>
        <w:rPr>
          <w:rFonts w:hint="eastAsia" w:ascii="宋体" w:hAnsi="宋体"/>
          <w:b/>
          <w:color w:val="000000"/>
          <w:sz w:val="20"/>
        </w:rPr>
        <w:t>（</w:t>
      </w:r>
      <w:r>
        <w:rPr>
          <w:rFonts w:ascii="宋体" w:hAnsi="宋体"/>
          <w:b/>
          <w:color w:val="000000"/>
          <w:sz w:val="20"/>
        </w:rPr>
        <w:t>1）因不可抗力导致产品管理人无法接受客户认购申请。</w:t>
      </w:r>
    </w:p>
    <w:p w14:paraId="7A4A2053">
      <w:pPr>
        <w:spacing w:after="93" w:afterLines="30"/>
        <w:ind w:firstLine="360"/>
        <w:rPr>
          <w:rFonts w:ascii="宋体" w:hAnsi="宋体"/>
          <w:b/>
          <w:color w:val="000000"/>
          <w:sz w:val="20"/>
        </w:rPr>
      </w:pPr>
      <w:r>
        <w:rPr>
          <w:rFonts w:hint="eastAsia" w:ascii="宋体" w:hAnsi="宋体"/>
          <w:b/>
          <w:color w:val="000000"/>
          <w:sz w:val="20"/>
        </w:rPr>
        <w:t>（</w:t>
      </w:r>
      <w:r>
        <w:rPr>
          <w:rFonts w:ascii="宋体" w:hAnsi="宋体"/>
          <w:b/>
          <w:color w:val="000000"/>
          <w:sz w:val="20"/>
        </w:rPr>
        <w:t>2）超出单个投资者</w:t>
      </w:r>
      <w:r>
        <w:rPr>
          <w:rFonts w:hint="eastAsia" w:ascii="宋体" w:hAnsi="宋体"/>
          <w:b/>
          <w:color w:val="000000"/>
          <w:sz w:val="20"/>
        </w:rPr>
        <w:t>单笔认购限制</w:t>
      </w:r>
      <w:r>
        <w:rPr>
          <w:rFonts w:hint="eastAsia" w:ascii="宋体" w:hAnsi="宋体"/>
          <w:b/>
          <w:color w:val="000000"/>
          <w:sz w:val="20"/>
          <w:szCs w:val="20"/>
        </w:rPr>
        <w:t>、单个投资者累计认购限制</w:t>
      </w:r>
      <w:r>
        <w:rPr>
          <w:rFonts w:hint="eastAsia" w:ascii="宋体" w:hAnsi="宋体"/>
          <w:b/>
          <w:color w:val="000000"/>
          <w:sz w:val="20"/>
        </w:rPr>
        <w:t>或单个投资者</w:t>
      </w:r>
      <w:r>
        <w:rPr>
          <w:rFonts w:hint="eastAsia" w:ascii="宋体" w:hAnsi="宋体"/>
          <w:b/>
          <w:color w:val="000000"/>
          <w:sz w:val="20"/>
          <w:szCs w:val="20"/>
        </w:rPr>
        <w:t>持仓比例</w:t>
      </w:r>
      <w:r>
        <w:rPr>
          <w:rFonts w:hint="eastAsia" w:ascii="宋体" w:hAnsi="宋体"/>
          <w:b/>
          <w:color w:val="000000"/>
          <w:sz w:val="20"/>
        </w:rPr>
        <w:t>限制</w:t>
      </w:r>
      <w:r>
        <w:rPr>
          <w:rFonts w:hint="eastAsia" w:ascii="宋体" w:hAnsi="宋体"/>
          <w:b/>
          <w:color w:val="000000"/>
          <w:sz w:val="20"/>
          <w:szCs w:val="20"/>
        </w:rPr>
        <w:t xml:space="preserve">  </w:t>
      </w:r>
      <w:r>
        <w:rPr>
          <w:rFonts w:hint="eastAsia" w:ascii="宋体" w:hAnsi="宋体"/>
          <w:b/>
          <w:color w:val="000000"/>
          <w:sz w:val="20"/>
        </w:rPr>
        <w:t>（如有）。</w:t>
      </w:r>
    </w:p>
    <w:p w14:paraId="2A400CED">
      <w:pPr>
        <w:spacing w:after="93" w:afterLines="30"/>
        <w:ind w:firstLine="360"/>
        <w:rPr>
          <w:rFonts w:ascii="宋体" w:hAnsi="宋体"/>
          <w:b/>
          <w:color w:val="000000"/>
          <w:sz w:val="20"/>
        </w:rPr>
      </w:pPr>
      <w:r>
        <w:rPr>
          <w:rFonts w:hint="eastAsia" w:ascii="宋体" w:hAnsi="宋体"/>
          <w:b/>
          <w:color w:val="000000"/>
          <w:sz w:val="20"/>
        </w:rPr>
        <w:t>（</w:t>
      </w:r>
      <w:r>
        <w:rPr>
          <w:rFonts w:ascii="宋体" w:hAnsi="宋体"/>
          <w:b/>
          <w:color w:val="000000"/>
          <w:sz w:val="20"/>
        </w:rPr>
        <w:t xml:space="preserve">3）若在产品募集期内，本产品认购总额达到规模上限。 </w:t>
      </w:r>
    </w:p>
    <w:p w14:paraId="79218FD4">
      <w:pPr>
        <w:spacing w:after="93" w:afterLines="30"/>
        <w:ind w:firstLine="360"/>
        <w:rPr>
          <w:rFonts w:ascii="宋体" w:hAnsi="宋体"/>
          <w:b/>
          <w:color w:val="000000"/>
          <w:sz w:val="20"/>
        </w:rPr>
      </w:pPr>
      <w:r>
        <w:rPr>
          <w:rFonts w:hint="eastAsia" w:ascii="宋体" w:hAnsi="宋体"/>
          <w:b/>
          <w:color w:val="000000"/>
          <w:sz w:val="20"/>
        </w:rPr>
        <w:t>（</w:t>
      </w:r>
      <w:r>
        <w:rPr>
          <w:rFonts w:ascii="宋体" w:hAnsi="宋体"/>
          <w:b/>
          <w:color w:val="000000"/>
          <w:sz w:val="20"/>
        </w:rPr>
        <w:t>4）产品管理人有合理理由认为将影响本产品运作的其他情形；</w:t>
      </w:r>
    </w:p>
    <w:p w14:paraId="4BF8B300">
      <w:pPr>
        <w:spacing w:after="93" w:afterLines="30"/>
        <w:ind w:firstLine="360"/>
        <w:rPr>
          <w:rFonts w:ascii="宋体" w:hAnsi="宋体"/>
          <w:b/>
          <w:color w:val="000000"/>
          <w:sz w:val="20"/>
          <w:szCs w:val="20"/>
        </w:rPr>
      </w:pPr>
      <w:r>
        <w:rPr>
          <w:rFonts w:hint="eastAsia" w:ascii="宋体" w:hAnsi="宋体"/>
          <w:b/>
          <w:color w:val="000000"/>
          <w:sz w:val="20"/>
        </w:rPr>
        <w:t>（</w:t>
      </w:r>
      <w:r>
        <w:rPr>
          <w:rFonts w:ascii="宋体" w:hAnsi="宋体"/>
          <w:b/>
          <w:color w:val="000000"/>
          <w:sz w:val="20"/>
          <w:szCs w:val="20"/>
        </w:rPr>
        <w:t>5</w:t>
      </w:r>
      <w:r>
        <w:rPr>
          <w:rFonts w:hint="eastAsia" w:ascii="宋体" w:hAnsi="宋体"/>
          <w:b/>
          <w:color w:val="000000"/>
          <w:sz w:val="20"/>
        </w:rPr>
        <w:t>）法律、法规或相关监管机构认定的其他情形。</w:t>
      </w:r>
    </w:p>
    <w:p w14:paraId="55CE1373">
      <w:pPr>
        <w:spacing w:after="93" w:afterLines="30"/>
        <w:ind w:firstLine="402" w:firstLineChars="200"/>
        <w:rPr>
          <w:rFonts w:ascii="宋体" w:hAnsi="宋体"/>
          <w:b/>
          <w:sz w:val="20"/>
          <w:szCs w:val="20"/>
        </w:rPr>
      </w:pPr>
      <w:r>
        <w:rPr>
          <w:rFonts w:hint="eastAsia" w:ascii="宋体" w:hAnsi="宋体"/>
          <w:b/>
          <w:sz w:val="20"/>
          <w:szCs w:val="20"/>
        </w:rPr>
        <w:t>（三）产品成立</w:t>
      </w:r>
    </w:p>
    <w:p w14:paraId="48DE3895">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hint="eastAsia" w:ascii="宋体" w:hAnsi="宋体" w:cs="宋体"/>
          <w:b/>
          <w:color w:val="000000"/>
          <w:kern w:val="0"/>
          <w:sz w:val="20"/>
          <w:szCs w:val="20"/>
        </w:rPr>
        <w:t>产品管理人有权根据市场情况缩短或延长募集期，根据募集期调整成立日。</w:t>
      </w:r>
    </w:p>
    <w:p w14:paraId="13448AB8">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hint="eastAsia" w:ascii="宋体" w:hAnsi="宋体" w:cs="宋体"/>
          <w:b/>
          <w:color w:val="000000"/>
          <w:kern w:val="0"/>
          <w:sz w:val="20"/>
          <w:szCs w:val="20"/>
        </w:rPr>
        <w:t>若出现如下情况之一，产品管理人有权利但无义务决定本产品不成立：</w:t>
      </w:r>
    </w:p>
    <w:p w14:paraId="3480FECB">
      <w:pPr>
        <w:spacing w:after="93" w:afterLines="30"/>
        <w:ind w:firstLine="400" w:firstLineChars="200"/>
        <w:rPr>
          <w:rFonts w:ascii="宋体" w:hAnsi="宋体"/>
          <w:color w:val="000000"/>
          <w:kern w:val="0"/>
          <w:sz w:val="20"/>
        </w:rPr>
      </w:pPr>
      <w:r>
        <w:rPr>
          <w:rFonts w:hint="eastAsia" w:ascii="宋体" w:hAnsi="宋体"/>
          <w:color w:val="000000"/>
          <w:kern w:val="0"/>
          <w:sz w:val="20"/>
        </w:rPr>
        <w:t>（</w:t>
      </w:r>
      <w:r>
        <w:rPr>
          <w:rFonts w:ascii="宋体" w:hAnsi="宋体"/>
          <w:color w:val="000000"/>
          <w:kern w:val="0"/>
          <w:sz w:val="20"/>
        </w:rPr>
        <w:t>1）</w:t>
      </w:r>
      <w:r>
        <w:rPr>
          <w:rFonts w:hint="eastAsia" w:ascii="宋体" w:hAnsi="宋体"/>
          <w:color w:val="000000"/>
          <w:kern w:val="0"/>
          <w:sz w:val="20"/>
        </w:rPr>
        <w:t>认购总份额未达规模下限；</w:t>
      </w:r>
    </w:p>
    <w:p w14:paraId="4BADCED7">
      <w:pPr>
        <w:spacing w:after="93" w:afterLines="30"/>
        <w:ind w:firstLine="400" w:firstLineChars="200"/>
        <w:rPr>
          <w:rFonts w:ascii="宋体" w:hAnsi="宋体"/>
          <w:color w:val="000000"/>
          <w:kern w:val="0"/>
          <w:sz w:val="20"/>
        </w:rPr>
      </w:pPr>
      <w:r>
        <w:rPr>
          <w:rFonts w:hint="eastAsia" w:ascii="宋体" w:hAnsi="宋体"/>
          <w:color w:val="000000"/>
          <w:kern w:val="0"/>
          <w:sz w:val="20"/>
        </w:rPr>
        <w:t>（</w:t>
      </w:r>
      <w:r>
        <w:rPr>
          <w:rFonts w:ascii="宋体" w:hAnsi="宋体"/>
          <w:color w:val="000000"/>
          <w:kern w:val="0"/>
          <w:sz w:val="20"/>
        </w:rPr>
        <w:t>2）相关法律法规或监管规定或政策发生变化；</w:t>
      </w:r>
    </w:p>
    <w:p w14:paraId="27D055CE">
      <w:pPr>
        <w:spacing w:after="93" w:afterLines="30"/>
        <w:ind w:firstLine="400" w:firstLineChars="200"/>
        <w:rPr>
          <w:rFonts w:ascii="宋体" w:hAnsi="宋体"/>
          <w:color w:val="000000"/>
          <w:kern w:val="0"/>
          <w:sz w:val="20"/>
        </w:rPr>
      </w:pPr>
      <w:r>
        <w:rPr>
          <w:rFonts w:hint="eastAsia" w:ascii="宋体" w:hAnsi="宋体"/>
          <w:color w:val="000000"/>
          <w:kern w:val="0"/>
          <w:sz w:val="20"/>
        </w:rPr>
        <w:t>（</w:t>
      </w:r>
      <w:r>
        <w:rPr>
          <w:rFonts w:ascii="宋体" w:hAnsi="宋体"/>
          <w:color w:val="000000"/>
          <w:kern w:val="0"/>
          <w:sz w:val="20"/>
        </w:rPr>
        <w:t>3）可能影响产品</w:t>
      </w:r>
      <w:r>
        <w:rPr>
          <w:rFonts w:hint="eastAsia" w:ascii="宋体" w:hAnsi="宋体"/>
          <w:color w:val="000000"/>
          <w:kern w:val="0"/>
          <w:sz w:val="20"/>
        </w:rPr>
        <w:t>正常成立或运作的其他情况；</w:t>
      </w:r>
    </w:p>
    <w:p w14:paraId="3AA59727">
      <w:pPr>
        <w:spacing w:after="93" w:afterLines="30"/>
        <w:ind w:firstLine="400" w:firstLineChars="200"/>
        <w:rPr>
          <w:rFonts w:ascii="宋体" w:hAnsi="宋体"/>
          <w:color w:val="000000"/>
          <w:kern w:val="0"/>
          <w:sz w:val="20"/>
        </w:rPr>
      </w:pPr>
      <w:r>
        <w:rPr>
          <w:rFonts w:hint="eastAsia" w:ascii="宋体" w:hAnsi="宋体"/>
          <w:color w:val="000000"/>
          <w:kern w:val="0"/>
          <w:sz w:val="20"/>
        </w:rPr>
        <w:t>（</w:t>
      </w:r>
      <w:r>
        <w:rPr>
          <w:rFonts w:ascii="宋体" w:hAnsi="宋体"/>
          <w:color w:val="000000"/>
          <w:kern w:val="0"/>
          <w:sz w:val="20"/>
        </w:rPr>
        <w:t>4）</w:t>
      </w:r>
      <w:r>
        <w:rPr>
          <w:rFonts w:hint="eastAsia" w:ascii="宋体" w:hAnsi="宋体"/>
          <w:color w:val="000000"/>
          <w:kern w:val="0"/>
          <w:sz w:val="20"/>
        </w:rPr>
        <w:t>产品管理人根据实际情况合理判断不适宜产品成立或运作的；</w:t>
      </w:r>
    </w:p>
    <w:p w14:paraId="25DE872F">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若有投资者购买了本产品且本产品不成立，产品管理人最晚于产品计划成立日对产品不成立进行信息披露，在募集期结束后5个工作日内，投资者认购资金将返还至投资者约定交易账户，</w:t>
      </w:r>
      <w:r>
        <w:rPr>
          <w:rFonts w:hint="eastAsia" w:ascii="宋体" w:hAnsi="宋体" w:cs="宋体"/>
          <w:b/>
          <w:color w:val="000000"/>
          <w:kern w:val="0"/>
          <w:sz w:val="20"/>
          <w:szCs w:val="20"/>
        </w:rPr>
        <w:t>在途期间投资者认购资金不计息</w:t>
      </w:r>
      <w:r>
        <w:rPr>
          <w:rFonts w:hint="eastAsia" w:ascii="宋体" w:hAnsi="宋体" w:cs="宋体"/>
          <w:color w:val="000000"/>
          <w:kern w:val="0"/>
          <w:sz w:val="20"/>
          <w:szCs w:val="20"/>
        </w:rPr>
        <w:t>。</w:t>
      </w:r>
    </w:p>
    <w:p w14:paraId="16789FE3">
      <w:pPr>
        <w:spacing w:after="93" w:afterLines="30"/>
        <w:ind w:firstLine="402" w:firstLineChars="200"/>
        <w:rPr>
          <w:rFonts w:ascii="宋体" w:hAnsi="宋体" w:cs="宋体"/>
          <w:b/>
          <w:color w:val="000000"/>
          <w:kern w:val="0"/>
          <w:sz w:val="20"/>
          <w:szCs w:val="20"/>
        </w:rPr>
      </w:pPr>
      <w:r>
        <w:rPr>
          <w:rFonts w:hint="eastAsia" w:ascii="宋体" w:hAnsi="宋体" w:cs="宋体"/>
          <w:b/>
          <w:color w:val="000000"/>
          <w:kern w:val="0"/>
          <w:sz w:val="20"/>
          <w:szCs w:val="20"/>
        </w:rPr>
        <w:t>（四）存续期兑付</w:t>
      </w:r>
    </w:p>
    <w:p w14:paraId="16870D55">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在本产品存续期内，但未到产品到期日，若本产品所投向的</w:t>
      </w:r>
      <w:r>
        <w:rPr>
          <w:rFonts w:hint="eastAsia" w:ascii="宋体" w:hAnsi="宋体"/>
          <w:sz w:val="20"/>
          <w:szCs w:val="20"/>
        </w:rPr>
        <w:t>非标准化债权类资产</w:t>
      </w:r>
      <w:r>
        <w:rPr>
          <w:rFonts w:hint="eastAsia" w:ascii="宋体" w:hAnsi="宋体" w:cs="宋体"/>
          <w:color w:val="000000"/>
          <w:kern w:val="0"/>
          <w:sz w:val="20"/>
          <w:szCs w:val="20"/>
        </w:rPr>
        <w:t>向本产品进行了兑付且实际分配至本产品，产品管理人有权利但无义务决定向投资者进行相应兑付，投资者持有的产品份额将相应扣减。若产品管理人决定进行存续期兑付，</w:t>
      </w:r>
      <w:r>
        <w:rPr>
          <w:rFonts w:hint="eastAsia" w:ascii="宋体" w:hAnsi="宋体"/>
          <w:color w:val="000000"/>
          <w:sz w:val="20"/>
          <w:szCs w:val="20"/>
        </w:rPr>
        <w:t>将</w:t>
      </w:r>
      <w:r>
        <w:rPr>
          <w:rFonts w:hint="eastAsia" w:ascii="宋体" w:hAnsi="宋体"/>
          <w:bCs/>
          <w:sz w:val="20"/>
          <w:szCs w:val="20"/>
        </w:rPr>
        <w:t>最晚于存续期兑付日对产品兑付进行信息披露</w:t>
      </w:r>
      <w:r>
        <w:rPr>
          <w:rFonts w:hint="eastAsia" w:ascii="宋体" w:hAnsi="宋体" w:cs="宋体"/>
          <w:color w:val="000000"/>
          <w:kern w:val="0"/>
          <w:sz w:val="20"/>
          <w:szCs w:val="20"/>
        </w:rPr>
        <w:t>，并将相应资金返还至投资者约定交易账户。</w:t>
      </w:r>
    </w:p>
    <w:p w14:paraId="6CFE614B">
      <w:pPr>
        <w:spacing w:after="93" w:afterLines="30"/>
        <w:ind w:firstLine="400" w:firstLineChars="200"/>
        <w:rPr>
          <w:rFonts w:ascii="宋体" w:hAnsi="宋体"/>
          <w:sz w:val="20"/>
          <w:szCs w:val="20"/>
        </w:rPr>
      </w:pPr>
    </w:p>
    <w:p w14:paraId="065E87B6">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四</w:t>
      </w:r>
      <w:r>
        <w:rPr>
          <w:rFonts w:ascii="宋体" w:hAnsi="宋体"/>
          <w:b/>
          <w:szCs w:val="20"/>
        </w:rPr>
        <w:t>、产品</w:t>
      </w:r>
      <w:r>
        <w:rPr>
          <w:rFonts w:hint="eastAsia" w:ascii="宋体" w:hAnsi="宋体"/>
          <w:b/>
          <w:szCs w:val="20"/>
        </w:rPr>
        <w:t>资产</w:t>
      </w:r>
      <w:r>
        <w:rPr>
          <w:rFonts w:ascii="宋体" w:hAnsi="宋体"/>
          <w:b/>
          <w:szCs w:val="20"/>
        </w:rPr>
        <w:t>估值</w:t>
      </w:r>
    </w:p>
    <w:p w14:paraId="763C2145">
      <w:pPr>
        <w:spacing w:after="93" w:afterLines="30"/>
        <w:ind w:firstLine="502" w:firstLineChars="250"/>
        <w:rPr>
          <w:rFonts w:ascii="宋体" w:hAnsi="宋体"/>
          <w:b/>
          <w:sz w:val="20"/>
          <w:szCs w:val="20"/>
        </w:rPr>
      </w:pPr>
      <w:r>
        <w:rPr>
          <w:rFonts w:hint="eastAsia" w:ascii="宋体" w:hAnsi="宋体"/>
          <w:b/>
          <w:sz w:val="20"/>
          <w:szCs w:val="20"/>
        </w:rPr>
        <w:t>（一）资产估值要求</w:t>
      </w:r>
    </w:p>
    <w:p w14:paraId="5A541F4A">
      <w:pPr>
        <w:spacing w:after="93" w:afterLines="30"/>
        <w:ind w:firstLine="500" w:firstLineChars="250"/>
        <w:rPr>
          <w:rFonts w:ascii="宋体" w:hAnsi="宋体"/>
          <w:color w:val="000000"/>
          <w:sz w:val="20"/>
          <w:szCs w:val="20"/>
        </w:rPr>
      </w:pPr>
      <w:r>
        <w:rPr>
          <w:rFonts w:hint="eastAsia" w:ascii="宋体" w:hAnsi="宋体"/>
          <w:sz w:val="20"/>
          <w:szCs w:val="20"/>
        </w:rPr>
        <w:t>1.</w:t>
      </w:r>
      <w:r>
        <w:rPr>
          <w:rFonts w:hint="eastAsia" w:ascii="宋体" w:hAnsi="宋体"/>
          <w:color w:val="000000"/>
          <w:sz w:val="20"/>
          <w:szCs w:val="20"/>
        </w:rPr>
        <w:t>本产品资产总值包括产品项下固定收益类资产和其他符合监管要求的资产价值总和。</w:t>
      </w:r>
    </w:p>
    <w:p w14:paraId="03611939">
      <w:pPr>
        <w:spacing w:after="93" w:afterLines="30"/>
        <w:ind w:firstLine="500" w:firstLineChars="250"/>
        <w:rPr>
          <w:rFonts w:ascii="宋体" w:hAnsi="宋体"/>
          <w:color w:val="000000"/>
          <w:sz w:val="20"/>
          <w:szCs w:val="20"/>
        </w:rPr>
      </w:pPr>
      <w:r>
        <w:rPr>
          <w:rFonts w:hint="eastAsia" w:ascii="宋体" w:hAnsi="宋体"/>
          <w:color w:val="000000"/>
          <w:sz w:val="20"/>
          <w:szCs w:val="20"/>
        </w:rPr>
        <w:t>2.本产品份额净值=本产品资产净值/本产品份额总数。本产品份额净值</w:t>
      </w:r>
      <w:r>
        <w:rPr>
          <w:rFonts w:hint="eastAsia" w:ascii="宋体" w:hAnsi="宋体"/>
          <w:sz w:val="20"/>
          <w:szCs w:val="20"/>
        </w:rPr>
        <w:t>是计提相关费用后的份额净值，本产品计提详见</w:t>
      </w:r>
      <w:r>
        <w:rPr>
          <w:rFonts w:hint="eastAsia" w:ascii="宋体" w:hAnsi="宋体" w:cs="宋体"/>
          <w:sz w:val="20"/>
          <w:szCs w:val="20"/>
        </w:rPr>
        <w:t>本产品说明书第五章“产品收益与费用、税收说明”</w:t>
      </w:r>
      <w:r>
        <w:rPr>
          <w:rFonts w:hint="eastAsia" w:ascii="宋体" w:hAnsi="宋体"/>
          <w:sz w:val="20"/>
          <w:szCs w:val="20"/>
        </w:rPr>
        <w:t>。</w:t>
      </w:r>
      <w:r>
        <w:rPr>
          <w:rFonts w:hint="eastAsia" w:ascii="宋体" w:hAnsi="宋体"/>
          <w:color w:val="000000"/>
          <w:sz w:val="20"/>
          <w:szCs w:val="20"/>
        </w:rPr>
        <w:t>本产品资产净值是指本产品资产总额减去负债总额后的价值，</w:t>
      </w:r>
      <w:r>
        <w:rPr>
          <w:rFonts w:hint="eastAsia" w:ascii="宋体" w:hAnsi="宋体"/>
          <w:sz w:val="20"/>
          <w:szCs w:val="20"/>
        </w:rPr>
        <w:t>已计提的费用将计入产品负债，</w:t>
      </w:r>
      <w:r>
        <w:rPr>
          <w:rFonts w:hint="eastAsia" w:ascii="宋体" w:hAnsi="宋体"/>
          <w:b/>
          <w:sz w:val="20"/>
          <w:szCs w:val="20"/>
        </w:rPr>
        <w:t>未计提的费用不计入产品负债。</w:t>
      </w:r>
    </w:p>
    <w:p w14:paraId="01BD857C">
      <w:pPr>
        <w:spacing w:after="93" w:afterLines="30"/>
        <w:ind w:firstLine="500" w:firstLineChars="250"/>
        <w:rPr>
          <w:rFonts w:ascii="宋体" w:hAnsi="宋体"/>
          <w:sz w:val="20"/>
          <w:szCs w:val="20"/>
        </w:rPr>
      </w:pPr>
      <w:r>
        <w:rPr>
          <w:rFonts w:hint="eastAsia" w:ascii="宋体" w:hAnsi="宋体"/>
          <w:color w:val="000000"/>
          <w:sz w:val="20"/>
          <w:szCs w:val="20"/>
        </w:rPr>
        <w:t>本</w:t>
      </w:r>
      <w:r>
        <w:rPr>
          <w:rFonts w:hint="eastAsia" w:ascii="宋体" w:hAnsi="宋体"/>
          <w:sz w:val="20"/>
          <w:szCs w:val="20"/>
        </w:rPr>
        <w:t>产品份额累计净值是指本产品份额净值与本产品成立后历次累计单位收益分配的总和。如果本产品存续期未进行收益分配，则本产品份额净值等于本产品份额累计净值。</w:t>
      </w:r>
    </w:p>
    <w:p w14:paraId="6BFC7D98">
      <w:pPr>
        <w:spacing w:after="93" w:afterLines="30"/>
        <w:ind w:firstLine="500" w:firstLineChars="250"/>
        <w:rPr>
          <w:rFonts w:ascii="宋体" w:hAnsi="宋体"/>
          <w:sz w:val="20"/>
          <w:szCs w:val="20"/>
        </w:rPr>
      </w:pPr>
      <w:r>
        <w:rPr>
          <w:rFonts w:ascii="宋体" w:hAnsi="宋体"/>
          <w:sz w:val="20"/>
          <w:szCs w:val="20"/>
        </w:rPr>
        <w:t>3</w:t>
      </w:r>
      <w:r>
        <w:rPr>
          <w:rFonts w:hint="eastAsia" w:ascii="宋体" w:hAnsi="宋体"/>
          <w:sz w:val="20"/>
          <w:szCs w:val="20"/>
        </w:rPr>
        <w:t>.本产品资产估值的目的是客观、准确地反映资产价值，确定理财产品资产净值，并为理财产品份额的兑付提供计价依据。</w:t>
      </w:r>
    </w:p>
    <w:p w14:paraId="05A8FB95">
      <w:pPr>
        <w:spacing w:after="93" w:afterLines="30"/>
        <w:ind w:firstLine="402" w:firstLineChars="200"/>
        <w:rPr>
          <w:rFonts w:ascii="宋体" w:hAnsi="宋体"/>
          <w:b/>
          <w:sz w:val="20"/>
          <w:szCs w:val="20"/>
        </w:rPr>
      </w:pPr>
      <w:r>
        <w:rPr>
          <w:rFonts w:hint="eastAsia" w:ascii="宋体" w:hAnsi="宋体"/>
          <w:b/>
          <w:sz w:val="20"/>
          <w:szCs w:val="20"/>
        </w:rPr>
        <w:t>（二）资产估值原则</w:t>
      </w:r>
    </w:p>
    <w:p w14:paraId="5D7352BF">
      <w:pPr>
        <w:spacing w:after="93" w:afterLines="30"/>
        <w:ind w:firstLine="400" w:firstLineChars="200"/>
        <w:rPr>
          <w:rFonts w:ascii="宋体" w:hAnsi="宋体"/>
          <w:sz w:val="20"/>
          <w:szCs w:val="20"/>
        </w:rPr>
      </w:pPr>
      <w:r>
        <w:rPr>
          <w:rFonts w:hint="eastAsia" w:ascii="宋体" w:hAnsi="宋体"/>
          <w:sz w:val="20"/>
          <w:szCs w:val="20"/>
        </w:rPr>
        <w:t>1.适配性原则。金融资产的公允价值确定方法应与理财产品的类型相匹配。</w:t>
      </w:r>
    </w:p>
    <w:p w14:paraId="5EC6592D">
      <w:pPr>
        <w:spacing w:after="93" w:afterLines="30"/>
        <w:ind w:firstLine="400" w:firstLineChars="200"/>
        <w:rPr>
          <w:rFonts w:ascii="宋体" w:hAnsi="宋体"/>
          <w:sz w:val="20"/>
          <w:szCs w:val="20"/>
        </w:rPr>
      </w:pPr>
      <w:r>
        <w:rPr>
          <w:rFonts w:hint="eastAsia" w:ascii="宋体" w:hAnsi="宋体"/>
          <w:sz w:val="20"/>
          <w:szCs w:val="20"/>
        </w:rPr>
        <w:t>2.审慎性原则。审慎确认和计量金融资产的公允价值时，不高估公允价值收益，不低估公允价值损失。</w:t>
      </w:r>
    </w:p>
    <w:p w14:paraId="5F62CE31">
      <w:pPr>
        <w:spacing w:after="93" w:afterLines="30"/>
        <w:ind w:firstLine="400" w:firstLineChars="200"/>
        <w:rPr>
          <w:rFonts w:ascii="宋体" w:hAnsi="宋体"/>
          <w:sz w:val="20"/>
          <w:szCs w:val="20"/>
        </w:rPr>
      </w:pPr>
      <w:r>
        <w:rPr>
          <w:rFonts w:hint="eastAsia" w:ascii="宋体" w:hAnsi="宋体"/>
          <w:sz w:val="20"/>
          <w:szCs w:val="20"/>
        </w:rPr>
        <w:t>3.充分性原则。估值过程中充分考虑金融资产的性质、重要性及复杂程度等因素。</w:t>
      </w:r>
    </w:p>
    <w:p w14:paraId="15804087">
      <w:pPr>
        <w:spacing w:after="93" w:afterLines="30"/>
        <w:ind w:firstLine="400" w:firstLineChars="200"/>
        <w:rPr>
          <w:rFonts w:ascii="宋体" w:hAnsi="宋体"/>
          <w:sz w:val="20"/>
          <w:szCs w:val="20"/>
        </w:rPr>
      </w:pPr>
      <w:r>
        <w:rPr>
          <w:rFonts w:hint="eastAsia" w:ascii="宋体" w:hAnsi="宋体"/>
          <w:sz w:val="20"/>
          <w:szCs w:val="20"/>
        </w:rPr>
        <w:t>4.清晰性原则。估值方法应清晰明了，便于理解和应用，能清晰反应金融资产的性质。</w:t>
      </w:r>
    </w:p>
    <w:p w14:paraId="1A6BF201">
      <w:pPr>
        <w:spacing w:after="93" w:afterLines="30"/>
        <w:ind w:firstLine="402" w:firstLineChars="200"/>
        <w:rPr>
          <w:rFonts w:ascii="宋体" w:hAnsi="宋体"/>
          <w:b/>
          <w:sz w:val="20"/>
          <w:szCs w:val="20"/>
        </w:rPr>
      </w:pPr>
      <w:r>
        <w:rPr>
          <w:rFonts w:hint="eastAsia" w:ascii="宋体" w:hAnsi="宋体"/>
          <w:b/>
          <w:sz w:val="20"/>
          <w:szCs w:val="20"/>
        </w:rPr>
        <w:t>（三）资产估值方法</w:t>
      </w:r>
    </w:p>
    <w:p w14:paraId="05A2050E">
      <w:pPr>
        <w:spacing w:after="93" w:afterLines="30"/>
        <w:ind w:firstLine="400" w:firstLineChars="200"/>
        <w:rPr>
          <w:rFonts w:ascii="宋体" w:hAnsi="宋体"/>
          <w:sz w:val="20"/>
          <w:szCs w:val="20"/>
        </w:rPr>
      </w:pPr>
      <w:r>
        <w:rPr>
          <w:rFonts w:hint="eastAsia" w:ascii="宋体" w:hAnsi="宋体"/>
          <w:sz w:val="20"/>
          <w:szCs w:val="20"/>
        </w:rPr>
        <w:t>1.符合监管要求和企业会计准则可按照摊余成本法计量的资产，按摊余成本法计量。</w:t>
      </w:r>
    </w:p>
    <w:p w14:paraId="476621DB">
      <w:pPr>
        <w:spacing w:after="93" w:afterLines="30"/>
        <w:ind w:firstLine="400" w:firstLineChars="200"/>
        <w:rPr>
          <w:rFonts w:ascii="宋体" w:hAnsi="宋体"/>
          <w:sz w:val="20"/>
          <w:szCs w:val="20"/>
        </w:rPr>
      </w:pPr>
      <w:r>
        <w:rPr>
          <w:rFonts w:hint="eastAsia" w:ascii="宋体" w:hAnsi="宋体"/>
          <w:sz w:val="20"/>
          <w:szCs w:val="20"/>
        </w:rPr>
        <w:t>2.不符合以上条件的直接投资资产，除未上市企业股权资产采用成本法估值以外，原则上以公允价值计量，可选取第三方估值机构提供的估值价格、收盘价、或其他估值技术确定公允价值。</w:t>
      </w:r>
    </w:p>
    <w:p w14:paraId="5CE742F8">
      <w:pPr>
        <w:spacing w:after="93" w:afterLines="30"/>
        <w:ind w:firstLine="400" w:firstLineChars="200"/>
        <w:rPr>
          <w:rFonts w:ascii="宋体" w:hAnsi="宋体"/>
          <w:sz w:val="20"/>
          <w:szCs w:val="20"/>
        </w:rPr>
      </w:pPr>
      <w:r>
        <w:rPr>
          <w:rFonts w:hint="eastAsia" w:ascii="宋体" w:hAnsi="宋体"/>
          <w:sz w:val="20"/>
          <w:szCs w:val="20"/>
        </w:rPr>
        <w:t>3.本产品直接持有的证券投资基金（如有）</w:t>
      </w:r>
    </w:p>
    <w:p w14:paraId="2F35CFB9">
      <w:pPr>
        <w:spacing w:after="93" w:afterLines="30"/>
        <w:ind w:firstLine="400" w:firstLineChars="200"/>
        <w:rPr>
          <w:rFonts w:ascii="宋体" w:hAnsi="宋体"/>
          <w:sz w:val="20"/>
          <w:szCs w:val="20"/>
        </w:rPr>
      </w:pPr>
      <w:r>
        <w:rPr>
          <w:rFonts w:hint="eastAsia" w:ascii="宋体" w:hAnsi="宋体"/>
          <w:sz w:val="20"/>
          <w:szCs w:val="20"/>
        </w:rPr>
        <w:t>货币市场基金按所投资基金前一估值日后至估值日期间（含节假日）的万份收益或份额净值计提估值日基金收益，其他品种可按所投资基金估值日的份额净值或收盘价估值。</w:t>
      </w:r>
    </w:p>
    <w:p w14:paraId="43396D54">
      <w:pPr>
        <w:spacing w:after="93" w:afterLines="30"/>
        <w:ind w:firstLine="400" w:firstLineChars="200"/>
        <w:rPr>
          <w:rFonts w:ascii="宋体" w:hAnsi="宋体"/>
          <w:sz w:val="20"/>
          <w:szCs w:val="20"/>
        </w:rPr>
      </w:pPr>
      <w:r>
        <w:rPr>
          <w:rFonts w:hint="eastAsia" w:ascii="宋体" w:hAnsi="宋体"/>
          <w:sz w:val="20"/>
          <w:szCs w:val="20"/>
        </w:rPr>
        <w:t>4.本产品持有资产管理计划、信托计划等资产（如有）</w:t>
      </w:r>
    </w:p>
    <w:p w14:paraId="0D18514B">
      <w:pPr>
        <w:spacing w:after="93" w:afterLines="30"/>
        <w:ind w:firstLine="400" w:firstLineChars="200"/>
        <w:rPr>
          <w:rFonts w:ascii="宋体" w:hAnsi="宋体"/>
          <w:sz w:val="20"/>
          <w:szCs w:val="20"/>
        </w:rPr>
      </w:pPr>
      <w:r>
        <w:rPr>
          <w:rFonts w:hint="eastAsia" w:ascii="宋体" w:hAnsi="宋体"/>
          <w:sz w:val="20"/>
          <w:szCs w:val="20"/>
        </w:rPr>
        <w:t>（1）按合同约定的估值方案，以资产管理计划的管理人/信托计划的受托人和托管人共同确认的满足法律法规以及监管部门最新规定的方式进行估值。</w:t>
      </w:r>
    </w:p>
    <w:p w14:paraId="74831BC0">
      <w:pPr>
        <w:spacing w:after="93" w:afterLines="30"/>
        <w:ind w:firstLine="400" w:firstLineChars="200"/>
        <w:rPr>
          <w:rFonts w:ascii="宋体" w:hAnsi="宋体"/>
          <w:sz w:val="20"/>
          <w:szCs w:val="20"/>
        </w:rPr>
      </w:pPr>
      <w:r>
        <w:rPr>
          <w:rFonts w:hint="eastAsia" w:ascii="宋体" w:hAnsi="宋体"/>
          <w:sz w:val="20"/>
          <w:szCs w:val="20"/>
        </w:rPr>
        <w:t xml:space="preserve">（2）如合同未约定估值方案，按公允价值估值。 </w:t>
      </w:r>
    </w:p>
    <w:p w14:paraId="5D5269ED">
      <w:pPr>
        <w:spacing w:after="93" w:afterLines="30"/>
        <w:ind w:firstLine="400" w:firstLineChars="200"/>
        <w:rPr>
          <w:rFonts w:ascii="宋体" w:hAnsi="宋体"/>
          <w:sz w:val="20"/>
          <w:szCs w:val="20"/>
        </w:rPr>
      </w:pPr>
      <w:r>
        <w:rPr>
          <w:rFonts w:hint="eastAsia" w:ascii="宋体" w:hAnsi="宋体"/>
          <w:sz w:val="20"/>
          <w:szCs w:val="20"/>
        </w:rPr>
        <w:t>5.对于同时在多个不同市场交易的证券，应按照其所处市场及相应的估值标准，分别进行估值。</w:t>
      </w:r>
    </w:p>
    <w:p w14:paraId="02BDA101">
      <w:pPr>
        <w:spacing w:after="93" w:afterLines="30"/>
        <w:ind w:firstLine="400" w:firstLineChars="200"/>
        <w:rPr>
          <w:rFonts w:ascii="宋体" w:hAnsi="宋体"/>
          <w:sz w:val="20"/>
          <w:szCs w:val="20"/>
        </w:rPr>
      </w:pPr>
      <w:r>
        <w:rPr>
          <w:rFonts w:hint="eastAsia" w:ascii="宋体" w:hAnsi="宋体"/>
          <w:sz w:val="20"/>
          <w:szCs w:val="20"/>
        </w:rPr>
        <w:t>6.相关法律法规以及监管部门有最新规定的，从其规定。如有新增事项或新增其他投资品种，按监管最新规定估值。在监管规定允许的范围内，产品管理人与产品托管人可协商一致采用合理的估值技术或估值标准确定其公允价值。</w:t>
      </w:r>
    </w:p>
    <w:p w14:paraId="408FDB5A">
      <w:pPr>
        <w:spacing w:after="93" w:afterLines="30"/>
        <w:ind w:firstLine="400" w:firstLineChars="200"/>
        <w:rPr>
          <w:rFonts w:ascii="宋体" w:hAnsi="宋体"/>
          <w:b/>
          <w:sz w:val="20"/>
          <w:szCs w:val="20"/>
        </w:rPr>
      </w:pPr>
      <w:r>
        <w:rPr>
          <w:rFonts w:hint="eastAsia" w:ascii="宋体" w:hAnsi="宋体"/>
          <w:sz w:val="20"/>
          <w:szCs w:val="20"/>
        </w:rPr>
        <w:t>7</w:t>
      </w:r>
      <w:r>
        <w:rPr>
          <w:rFonts w:hint="eastAsia" w:ascii="宋体" w:hAnsi="宋体"/>
          <w:b/>
          <w:sz w:val="20"/>
          <w:szCs w:val="20"/>
        </w:rPr>
        <w:t>.</w:t>
      </w:r>
      <w:r>
        <w:rPr>
          <w:rFonts w:hint="eastAsia" w:ascii="宋体" w:hAnsi="宋体"/>
          <w:b/>
          <w:sz w:val="20"/>
        </w:rPr>
        <w:t>在任何情况下，若采用上述方式对理财产品进行估值，均应被认为采用了适当的估值方法。但是，如遇所投资标的暂停披露净值，或有确凿证据表明按上述方法进行估值不能客观反映其公允价值等特殊情况，产品管理人可根据具体情况与产品托管人商定后，在综合考虑市场成交价、市场报价、流动性、收益率曲线等多种因素基础上根据具体情况按最能反映公允价值的价格估值。</w:t>
      </w:r>
    </w:p>
    <w:p w14:paraId="639AE3E3">
      <w:pPr>
        <w:spacing w:after="93" w:afterLines="30"/>
        <w:ind w:firstLine="502" w:firstLineChars="250"/>
        <w:rPr>
          <w:rFonts w:ascii="宋体" w:hAnsi="宋体"/>
          <w:b/>
          <w:sz w:val="20"/>
          <w:szCs w:val="20"/>
        </w:rPr>
      </w:pPr>
      <w:r>
        <w:rPr>
          <w:rFonts w:hint="eastAsia" w:ascii="宋体" w:hAnsi="宋体"/>
          <w:b/>
          <w:sz w:val="20"/>
          <w:szCs w:val="20"/>
        </w:rPr>
        <w:t>（四）估值错误的处理</w:t>
      </w:r>
    </w:p>
    <w:p w14:paraId="23344719">
      <w:pPr>
        <w:spacing w:after="93" w:afterLines="30"/>
        <w:ind w:firstLine="500" w:firstLineChars="250"/>
        <w:rPr>
          <w:rFonts w:ascii="宋体" w:hAnsi="宋体"/>
          <w:sz w:val="20"/>
          <w:szCs w:val="20"/>
        </w:rPr>
      </w:pPr>
      <w:r>
        <w:rPr>
          <w:rFonts w:hint="eastAsia" w:ascii="宋体" w:hAnsi="宋体"/>
          <w:sz w:val="20"/>
          <w:szCs w:val="20"/>
        </w:rPr>
        <w:t>产品管理人和产品托管人将采取必要、适当合理的措施确保产品资产估值的准确性、及时性。当产品份额净值出现错误时，产品管理人应当立即予以纠正，并采取合理的措施防止损失进一步扩大。</w:t>
      </w:r>
      <w:r>
        <w:rPr>
          <w:rFonts w:hint="eastAsia" w:ascii="宋体" w:hAnsi="宋体"/>
          <w:b/>
          <w:sz w:val="20"/>
          <w:szCs w:val="20"/>
        </w:rPr>
        <w:t>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w:t>
      </w:r>
      <w:r>
        <w:rPr>
          <w:rFonts w:hint="eastAsia" w:ascii="宋体" w:hAnsi="宋体"/>
          <w:sz w:val="20"/>
        </w:rPr>
        <w:t>但产品管理人和产品托管人应当积极采取必要的措施消除由此造成的影响。</w:t>
      </w:r>
    </w:p>
    <w:p w14:paraId="781459BB">
      <w:pPr>
        <w:spacing w:after="93" w:afterLines="30"/>
        <w:ind w:firstLine="502" w:firstLineChars="250"/>
        <w:rPr>
          <w:rFonts w:ascii="宋体" w:hAnsi="宋体"/>
          <w:b/>
          <w:sz w:val="20"/>
          <w:szCs w:val="20"/>
        </w:rPr>
      </w:pPr>
      <w:r>
        <w:rPr>
          <w:rFonts w:hint="eastAsia" w:ascii="宋体" w:hAnsi="宋体"/>
          <w:b/>
          <w:sz w:val="20"/>
          <w:szCs w:val="20"/>
        </w:rPr>
        <w:t>（五）暂停估值</w:t>
      </w:r>
    </w:p>
    <w:p w14:paraId="60262D21">
      <w:pPr>
        <w:spacing w:after="93" w:afterLines="30"/>
        <w:ind w:firstLine="402"/>
        <w:rPr>
          <w:rFonts w:ascii="宋体" w:hAnsi="宋体"/>
          <w:sz w:val="20"/>
        </w:rPr>
      </w:pPr>
      <w:r>
        <w:rPr>
          <w:rFonts w:hint="eastAsia" w:ascii="宋体" w:hAnsi="宋体"/>
          <w:b/>
          <w:sz w:val="20"/>
          <w:szCs w:val="20"/>
        </w:rPr>
        <w:t>若出现如下情况之一，产品管理人可暂停产品的估值直至另行通知：</w:t>
      </w:r>
    </w:p>
    <w:p w14:paraId="5A9698F2">
      <w:pPr>
        <w:spacing w:after="93" w:afterLines="30"/>
        <w:ind w:firstLine="40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）在前一估值日内，产品资产净值50%以上的资产不具备活跃交易市场或者在活跃市场中无报价，且不能采用估值技术可靠计量公允价值；</w:t>
      </w:r>
    </w:p>
    <w:p w14:paraId="1C26E7EE">
      <w:pPr>
        <w:spacing w:after="93" w:afterLines="30"/>
        <w:ind w:firstLine="400"/>
        <w:rPr>
          <w:rFonts w:ascii="宋体" w:hAnsi="宋体"/>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）因不可抗力或其他情形致使产品管理人、托管人无法准确评估资产价值；</w:t>
      </w:r>
    </w:p>
    <w:p w14:paraId="5E74DE49">
      <w:pPr>
        <w:spacing w:after="93" w:afterLines="30"/>
        <w:ind w:firstLine="400"/>
        <w:rPr>
          <w:rFonts w:ascii="宋体" w:hAnsi="宋体"/>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）本产品投资的信托计划/资产管理计划/公募证券投资基金等合同约定暂停估值或无法估值的情形发生，导致本产品无法估值的；</w:t>
      </w:r>
    </w:p>
    <w:p w14:paraId="11F9D7A4">
      <w:pPr>
        <w:spacing w:after="93" w:afterLines="30"/>
        <w:ind w:firstLine="400"/>
        <w:rPr>
          <w:rFonts w:ascii="宋体" w:hAnsi="宋体"/>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）本产品管理人、托管人有合理理由认为将影响本理财产品估值的其他情形；</w:t>
      </w:r>
    </w:p>
    <w:p w14:paraId="3835428E">
      <w:pPr>
        <w:ind w:firstLine="400"/>
        <w:rPr>
          <w:rFonts w:ascii="宋体" w:hAns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）法律、法规或相关监管机构认定的其他情形。</w:t>
      </w:r>
    </w:p>
    <w:p w14:paraId="4025694C">
      <w:pPr>
        <w:spacing w:after="93" w:afterLines="30"/>
        <w:ind w:firstLine="500" w:firstLineChars="250"/>
        <w:rPr>
          <w:rFonts w:ascii="宋体" w:hAnsi="宋体"/>
          <w:sz w:val="20"/>
          <w:szCs w:val="20"/>
        </w:rPr>
      </w:pPr>
    </w:p>
    <w:p w14:paraId="43F812CF">
      <w:pPr>
        <w:pStyle w:val="31"/>
        <w:spacing w:after="93" w:afterLines="30"/>
        <w:ind w:firstLine="402" w:firstLineChars="200"/>
        <w:outlineLvl w:val="1"/>
        <w:rPr>
          <w:rFonts w:ascii="宋体" w:hAnsi="宋体" w:eastAsia="宋体" w:cs="黑体"/>
          <w:b/>
          <w:color w:val="auto"/>
          <w:sz w:val="20"/>
          <w:szCs w:val="20"/>
        </w:rPr>
      </w:pPr>
      <w:r>
        <w:rPr>
          <w:rFonts w:hint="eastAsia" w:ascii="宋体" w:hAnsi="宋体" w:eastAsia="宋体" w:cs="黑体"/>
          <w:b/>
          <w:color w:val="auto"/>
          <w:sz w:val="20"/>
          <w:szCs w:val="20"/>
        </w:rPr>
        <w:t>五、产品收益与费用、税收说明</w:t>
      </w:r>
    </w:p>
    <w:p w14:paraId="57A024B4">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（一）</w:t>
      </w:r>
      <w:r>
        <w:rPr>
          <w:rFonts w:ascii="宋体" w:hAnsi="宋体"/>
          <w:b/>
          <w:szCs w:val="20"/>
        </w:rPr>
        <w:t>产品费用计提方法</w:t>
      </w:r>
      <w:r>
        <w:rPr>
          <w:rFonts w:hint="eastAsia" w:ascii="宋体" w:hAnsi="宋体"/>
          <w:b/>
          <w:szCs w:val="20"/>
        </w:rPr>
        <w:t>和</w:t>
      </w:r>
      <w:r>
        <w:rPr>
          <w:rFonts w:ascii="宋体" w:hAnsi="宋体"/>
          <w:b/>
          <w:szCs w:val="20"/>
        </w:rPr>
        <w:t>计提标准</w:t>
      </w:r>
    </w:p>
    <w:p w14:paraId="45864475">
      <w:pPr>
        <w:spacing w:after="93" w:afterLines="30"/>
        <w:ind w:firstLine="402" w:firstLineChars="200"/>
        <w:rPr>
          <w:rFonts w:ascii="宋体" w:hAnsi="宋体"/>
          <w:b/>
          <w:sz w:val="20"/>
          <w:szCs w:val="20"/>
        </w:rPr>
      </w:pPr>
      <w:r>
        <w:rPr>
          <w:rFonts w:hint="eastAsia" w:ascii="宋体" w:hAnsi="宋体"/>
          <w:b/>
          <w:sz w:val="20"/>
          <w:szCs w:val="20"/>
        </w:rPr>
        <w:t>1.销售费</w:t>
      </w:r>
      <w:r>
        <w:rPr>
          <w:rFonts w:ascii="宋体" w:hAnsi="宋体"/>
          <w:b/>
          <w:sz w:val="20"/>
          <w:szCs w:val="20"/>
        </w:rPr>
        <w:t>：本产品销售费按前一</w:t>
      </w:r>
      <w:r>
        <w:rPr>
          <w:rFonts w:hint="eastAsia" w:ascii="宋体" w:hAnsi="宋体"/>
          <w:b/>
          <w:sz w:val="20"/>
          <w:szCs w:val="20"/>
        </w:rPr>
        <w:t>自然日</w:t>
      </w:r>
      <w:r>
        <w:rPr>
          <w:rFonts w:ascii="宋体" w:hAnsi="宋体"/>
          <w:b/>
          <w:sz w:val="20"/>
          <w:szCs w:val="20"/>
        </w:rPr>
        <w:t>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0.01%年费</w:t>
      </w:r>
      <w:r>
        <w:rPr>
          <w:rFonts w:ascii="宋体" w:hAnsi="宋体"/>
          <w:b/>
          <w:sz w:val="20"/>
          <w:szCs w:val="20"/>
        </w:rPr>
        <w:t>率计提。</w:t>
      </w:r>
      <w:r>
        <w:rPr>
          <w:rFonts w:hint="eastAsia" w:ascii="宋体" w:hAnsi="宋体"/>
          <w:b/>
          <w:sz w:val="20"/>
          <w:szCs w:val="20"/>
        </w:rPr>
        <w:t>S</w:t>
      </w:r>
      <w:r>
        <w:rPr>
          <w:rFonts w:ascii="宋体" w:hAnsi="宋体"/>
          <w:b/>
          <w:sz w:val="20"/>
          <w:szCs w:val="20"/>
        </w:rPr>
        <w:t>=E×</w:t>
      </w:r>
      <w:r>
        <w:rPr>
          <w:rFonts w:hint="eastAsia" w:ascii="宋体" w:hAnsi="宋体"/>
          <w:b/>
          <w:sz w:val="20"/>
          <w:szCs w:val="20"/>
        </w:rPr>
        <w:t>0.01%÷365</w:t>
      </w:r>
      <w:r>
        <w:rPr>
          <w:rFonts w:ascii="宋体" w:hAnsi="宋体"/>
          <w:b/>
          <w:sz w:val="20"/>
          <w:szCs w:val="20"/>
        </w:rPr>
        <w:t>，</w:t>
      </w:r>
      <w:r>
        <w:rPr>
          <w:rFonts w:hint="eastAsia" w:ascii="宋体" w:hAnsi="宋体"/>
          <w:b/>
          <w:sz w:val="20"/>
          <w:szCs w:val="20"/>
        </w:rPr>
        <w:t>S为</w:t>
      </w:r>
      <w:r>
        <w:rPr>
          <w:rFonts w:ascii="宋体" w:hAnsi="宋体"/>
          <w:b/>
          <w:sz w:val="20"/>
          <w:szCs w:val="20"/>
        </w:rPr>
        <w:t>每日应计提的销售费，</w:t>
      </w:r>
      <w:r>
        <w:rPr>
          <w:rFonts w:hint="eastAsia" w:ascii="宋体" w:hAnsi="宋体"/>
          <w:b/>
          <w:sz w:val="20"/>
          <w:szCs w:val="20"/>
        </w:rPr>
        <w:t>E为</w:t>
      </w:r>
      <w:r>
        <w:rPr>
          <w:rFonts w:ascii="宋体" w:hAnsi="宋体"/>
          <w:b/>
          <w:sz w:val="20"/>
          <w:szCs w:val="20"/>
        </w:rPr>
        <w:t>前一</w:t>
      </w:r>
      <w:r>
        <w:rPr>
          <w:rFonts w:hint="eastAsia" w:ascii="宋体" w:hAnsi="宋体"/>
          <w:b/>
          <w:sz w:val="20"/>
          <w:szCs w:val="20"/>
        </w:rPr>
        <w:t>自然日</w:t>
      </w:r>
      <w:r>
        <w:rPr>
          <w:rFonts w:ascii="宋体" w:hAnsi="宋体"/>
          <w:b/>
          <w:sz w:val="20"/>
          <w:szCs w:val="20"/>
        </w:rPr>
        <w:t>产品资产净值（</w:t>
      </w:r>
      <w:r>
        <w:rPr>
          <w:rFonts w:hint="eastAsia" w:ascii="宋体" w:hAnsi="宋体"/>
          <w:b/>
          <w:sz w:val="20"/>
          <w:szCs w:val="20"/>
        </w:rPr>
        <w:t>下同</w:t>
      </w:r>
      <w:r>
        <w:rPr>
          <w:rFonts w:ascii="宋体" w:hAnsi="宋体"/>
          <w:b/>
          <w:sz w:val="20"/>
          <w:szCs w:val="20"/>
        </w:rPr>
        <w:t>）</w:t>
      </w:r>
      <w:r>
        <w:rPr>
          <w:rFonts w:hint="eastAsia" w:ascii="宋体" w:hAnsi="宋体"/>
          <w:b/>
          <w:sz w:val="20"/>
          <w:szCs w:val="20"/>
        </w:rPr>
        <w:t>。本产品销售费每日计提。</w:t>
      </w:r>
    </w:p>
    <w:p w14:paraId="7EB9BCE2">
      <w:pPr>
        <w:spacing w:after="93" w:afterLines="30"/>
        <w:ind w:firstLine="402" w:firstLineChars="200"/>
        <w:rPr>
          <w:rFonts w:ascii="宋体" w:hAnsi="宋体"/>
          <w:b/>
          <w:sz w:val="20"/>
          <w:szCs w:val="20"/>
        </w:rPr>
      </w:pPr>
      <w:r>
        <w:rPr>
          <w:rFonts w:hint="eastAsia" w:ascii="宋体" w:hAnsi="宋体"/>
          <w:b/>
          <w:sz w:val="20"/>
          <w:szCs w:val="20"/>
        </w:rPr>
        <w:t>销售费计提起止时间：产品成立日后第一个自然日至产品终止日。</w:t>
      </w:r>
    </w:p>
    <w:p w14:paraId="7CFEBC29">
      <w:pPr>
        <w:spacing w:after="93" w:afterLines="30"/>
        <w:ind w:firstLine="402" w:firstLineChars="200"/>
        <w:rPr>
          <w:rFonts w:ascii="宋体" w:hAnsi="宋体"/>
          <w:b/>
          <w:sz w:val="20"/>
          <w:szCs w:val="20"/>
        </w:rPr>
      </w:pPr>
      <w:r>
        <w:rPr>
          <w:rFonts w:hint="eastAsia" w:ascii="宋体" w:hAnsi="宋体"/>
          <w:b/>
          <w:sz w:val="20"/>
          <w:szCs w:val="20"/>
        </w:rPr>
        <w:t>2</w:t>
      </w:r>
      <w:r>
        <w:rPr>
          <w:rFonts w:ascii="宋体" w:hAnsi="宋体"/>
          <w:b/>
          <w:sz w:val="20"/>
          <w:szCs w:val="20"/>
        </w:rPr>
        <w:t>.</w:t>
      </w:r>
      <w:r>
        <w:rPr>
          <w:rFonts w:hint="eastAsia" w:ascii="宋体" w:hAnsi="宋体"/>
          <w:b/>
          <w:sz w:val="20"/>
          <w:szCs w:val="20"/>
        </w:rPr>
        <w:t>固定管理</w:t>
      </w:r>
      <w:r>
        <w:rPr>
          <w:rFonts w:ascii="宋体" w:hAnsi="宋体"/>
          <w:b/>
          <w:sz w:val="20"/>
          <w:szCs w:val="20"/>
        </w:rPr>
        <w:t>费：本产品</w:t>
      </w:r>
      <w:r>
        <w:rPr>
          <w:rFonts w:hint="eastAsia" w:ascii="宋体" w:hAnsi="宋体"/>
          <w:b/>
          <w:sz w:val="20"/>
          <w:szCs w:val="20"/>
        </w:rPr>
        <w:t>固定管理</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0.1%年费</w:t>
      </w:r>
      <w:r>
        <w:rPr>
          <w:rFonts w:ascii="宋体" w:hAnsi="宋体"/>
          <w:b/>
          <w:sz w:val="20"/>
          <w:szCs w:val="20"/>
        </w:rPr>
        <w:t>率计提。H=E×</w:t>
      </w:r>
      <w:r>
        <w:rPr>
          <w:rFonts w:hint="eastAsia" w:ascii="宋体" w:hAnsi="宋体"/>
          <w:b/>
          <w:sz w:val="20"/>
          <w:szCs w:val="20"/>
        </w:rPr>
        <w:t>0.1%÷365</w:t>
      </w:r>
      <w:r>
        <w:rPr>
          <w:rFonts w:ascii="宋体" w:hAnsi="宋体"/>
          <w:b/>
          <w:sz w:val="20"/>
          <w:szCs w:val="20"/>
        </w:rPr>
        <w:t>，H</w:t>
      </w:r>
      <w:r>
        <w:rPr>
          <w:rFonts w:hint="eastAsia" w:ascii="宋体" w:hAnsi="宋体"/>
          <w:b/>
          <w:sz w:val="20"/>
          <w:szCs w:val="20"/>
        </w:rPr>
        <w:t>为</w:t>
      </w:r>
      <w:r>
        <w:rPr>
          <w:rFonts w:ascii="宋体" w:hAnsi="宋体"/>
          <w:b/>
          <w:sz w:val="20"/>
          <w:szCs w:val="20"/>
        </w:rPr>
        <w:t>每日应计提的</w:t>
      </w:r>
      <w:r>
        <w:rPr>
          <w:rFonts w:hint="eastAsia" w:ascii="宋体" w:hAnsi="宋体"/>
          <w:b/>
          <w:sz w:val="20"/>
          <w:szCs w:val="20"/>
        </w:rPr>
        <w:t>固定管理</w:t>
      </w:r>
      <w:r>
        <w:rPr>
          <w:rFonts w:ascii="宋体" w:hAnsi="宋体"/>
          <w:b/>
          <w:sz w:val="20"/>
          <w:szCs w:val="20"/>
        </w:rPr>
        <w:t>费</w:t>
      </w:r>
      <w:r>
        <w:rPr>
          <w:rFonts w:hint="eastAsia" w:ascii="宋体" w:hAnsi="宋体"/>
          <w:b/>
          <w:sz w:val="20"/>
          <w:szCs w:val="20"/>
        </w:rPr>
        <w:t>。本产品固定管理费每日计提。</w:t>
      </w:r>
    </w:p>
    <w:p w14:paraId="2547CEAD">
      <w:pPr>
        <w:spacing w:after="93" w:afterLines="30"/>
        <w:ind w:firstLine="402" w:firstLineChars="200"/>
        <w:rPr>
          <w:rFonts w:ascii="宋体" w:hAnsi="宋体"/>
          <w:b/>
          <w:sz w:val="20"/>
          <w:szCs w:val="20"/>
        </w:rPr>
      </w:pPr>
      <w:r>
        <w:rPr>
          <w:rFonts w:hint="eastAsia" w:ascii="宋体" w:hAnsi="宋体"/>
          <w:b/>
          <w:sz w:val="20"/>
          <w:szCs w:val="20"/>
        </w:rPr>
        <w:t>固定管理费计提起止时间：产品成立日后第一个自然日至产品终止日。</w:t>
      </w:r>
    </w:p>
    <w:p w14:paraId="7FFA1A5C">
      <w:pPr>
        <w:spacing w:after="93" w:afterLines="30"/>
        <w:ind w:firstLine="402" w:firstLineChars="200"/>
        <w:rPr>
          <w:rFonts w:ascii="宋体" w:hAnsi="宋体"/>
          <w:b/>
          <w:sz w:val="20"/>
          <w:szCs w:val="20"/>
        </w:rPr>
      </w:pPr>
      <w:r>
        <w:rPr>
          <w:rFonts w:ascii="宋体" w:hAnsi="宋体"/>
          <w:b/>
          <w:sz w:val="20"/>
          <w:szCs w:val="20"/>
        </w:rPr>
        <w:t>3.</w:t>
      </w:r>
      <w:r>
        <w:rPr>
          <w:rFonts w:hint="eastAsia" w:ascii="宋体" w:hAnsi="宋体"/>
          <w:b/>
          <w:sz w:val="20"/>
          <w:szCs w:val="20"/>
        </w:rPr>
        <w:t>托管费</w:t>
      </w:r>
      <w:r>
        <w:rPr>
          <w:rFonts w:ascii="宋体" w:hAnsi="宋体"/>
          <w:b/>
          <w:sz w:val="20"/>
          <w:szCs w:val="20"/>
        </w:rPr>
        <w:t>：本产品</w:t>
      </w:r>
      <w:r>
        <w:rPr>
          <w:rFonts w:hint="eastAsia" w:ascii="宋体" w:hAnsi="宋体"/>
          <w:b/>
          <w:sz w:val="20"/>
          <w:szCs w:val="20"/>
        </w:rPr>
        <w:t>托管</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0.02%年费</w:t>
      </w:r>
      <w:r>
        <w:rPr>
          <w:rFonts w:ascii="宋体" w:hAnsi="宋体"/>
          <w:b/>
          <w:sz w:val="20"/>
          <w:szCs w:val="20"/>
        </w:rPr>
        <w:t>率计提。</w:t>
      </w:r>
      <w:r>
        <w:rPr>
          <w:rFonts w:hint="eastAsia" w:ascii="宋体" w:hAnsi="宋体"/>
          <w:b/>
          <w:sz w:val="20"/>
          <w:szCs w:val="20"/>
        </w:rPr>
        <w:t>G</w:t>
      </w:r>
      <w:r>
        <w:rPr>
          <w:rFonts w:ascii="宋体" w:hAnsi="宋体"/>
          <w:b/>
          <w:sz w:val="20"/>
          <w:szCs w:val="20"/>
        </w:rPr>
        <w:t>=E×</w:t>
      </w:r>
      <w:r>
        <w:rPr>
          <w:rFonts w:hint="eastAsia" w:ascii="宋体" w:hAnsi="宋体"/>
          <w:b/>
          <w:sz w:val="20"/>
          <w:szCs w:val="20"/>
        </w:rPr>
        <w:t>0.02%÷365</w:t>
      </w:r>
      <w:r>
        <w:rPr>
          <w:rFonts w:ascii="宋体" w:hAnsi="宋体"/>
          <w:b/>
          <w:sz w:val="20"/>
          <w:szCs w:val="20"/>
        </w:rPr>
        <w:t>，G</w:t>
      </w:r>
      <w:r>
        <w:rPr>
          <w:rFonts w:hint="eastAsia" w:ascii="宋体" w:hAnsi="宋体"/>
          <w:b/>
          <w:sz w:val="20"/>
          <w:szCs w:val="20"/>
        </w:rPr>
        <w:t>为</w:t>
      </w:r>
      <w:r>
        <w:rPr>
          <w:rFonts w:ascii="宋体" w:hAnsi="宋体"/>
          <w:b/>
          <w:sz w:val="20"/>
          <w:szCs w:val="20"/>
        </w:rPr>
        <w:t>每日应计提</w:t>
      </w:r>
      <w:r>
        <w:rPr>
          <w:rFonts w:hint="eastAsia" w:ascii="宋体" w:hAnsi="宋体"/>
          <w:b/>
          <w:sz w:val="20"/>
          <w:szCs w:val="20"/>
        </w:rPr>
        <w:t>的</w:t>
      </w:r>
      <w:r>
        <w:rPr>
          <w:rFonts w:ascii="宋体" w:hAnsi="宋体"/>
          <w:b/>
          <w:sz w:val="20"/>
          <w:szCs w:val="20"/>
        </w:rPr>
        <w:t>托管费。</w:t>
      </w:r>
      <w:r>
        <w:rPr>
          <w:rFonts w:hint="eastAsia" w:ascii="宋体" w:hAnsi="宋体"/>
          <w:b/>
          <w:sz w:val="20"/>
          <w:szCs w:val="20"/>
        </w:rPr>
        <w:t>本产品托管费每日计提。</w:t>
      </w:r>
    </w:p>
    <w:p w14:paraId="2DD713F4">
      <w:pPr>
        <w:spacing w:after="93" w:afterLines="30"/>
        <w:ind w:firstLine="402" w:firstLineChars="200"/>
        <w:rPr>
          <w:rFonts w:ascii="宋体" w:hAnsi="宋体"/>
          <w:b/>
          <w:sz w:val="20"/>
          <w:szCs w:val="20"/>
        </w:rPr>
      </w:pPr>
      <w:r>
        <w:rPr>
          <w:rFonts w:hint="eastAsia" w:ascii="宋体" w:hAnsi="宋体"/>
          <w:b/>
          <w:sz w:val="20"/>
          <w:szCs w:val="20"/>
        </w:rPr>
        <w:t>托管费计提起止时间：产品成立日后第一个自然日至产品终止日。</w:t>
      </w:r>
    </w:p>
    <w:p w14:paraId="3EB412DD">
      <w:pPr>
        <w:spacing w:after="93" w:afterLines="30"/>
        <w:ind w:firstLine="402" w:firstLineChars="200"/>
        <w:rPr>
          <w:rFonts w:ascii="宋体" w:hAnsi="宋体"/>
          <w:b/>
          <w:sz w:val="20"/>
          <w:szCs w:val="20"/>
        </w:rPr>
      </w:pPr>
      <w:r>
        <w:rPr>
          <w:rFonts w:hint="eastAsia" w:ascii="宋体" w:hAnsi="宋体"/>
          <w:b/>
          <w:sz w:val="20"/>
          <w:szCs w:val="20"/>
        </w:rPr>
        <w:t>4.超额业绩报酬</w:t>
      </w:r>
      <w:r>
        <w:rPr>
          <w:rFonts w:ascii="宋体" w:hAnsi="宋体"/>
          <w:b/>
          <w:sz w:val="20"/>
          <w:szCs w:val="20"/>
        </w:rPr>
        <w:t>：</w:t>
      </w:r>
    </w:p>
    <w:p w14:paraId="234B9AFC">
      <w:pPr>
        <w:spacing w:after="93" w:afterLines="30"/>
        <w:ind w:firstLine="402" w:firstLineChars="2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本产品设立业绩比较基准。若产品存续期内未发生本说明书约定的存续期兑付，且产品在存续期内的累计年化收益率超过业绩比较基准，产品管理人将按照超出部分的</w:t>
      </w:r>
      <w:r>
        <w:rPr>
          <w:rFonts w:ascii="宋体" w:hAnsi="宋体"/>
          <w:b/>
          <w:color w:val="000000" w:themeColor="text1"/>
          <w:sz w:val="20"/>
          <w:szCs w:val="20"/>
          <w14:textFill>
            <w14:solidFill>
              <w14:schemeClr w14:val="tx1"/>
            </w14:solidFill>
          </w14:textFill>
        </w:rPr>
        <w:t>50</w:t>
      </w:r>
      <w:r>
        <w:rPr>
          <w:rFonts w:hint="eastAsia" w:ascii="宋体" w:hAnsi="宋体"/>
          <w:b/>
          <w:color w:val="000000" w:themeColor="text1"/>
          <w:sz w:val="20"/>
          <w:szCs w:val="20"/>
          <w14:textFill>
            <w14:solidFill>
              <w14:schemeClr w14:val="tx1"/>
            </w14:solidFill>
          </w14:textFill>
        </w:rPr>
        <w:t>%计提超额业绩报酬。此时本产品超额业绩报酬计提基准日为产品终止日。</w:t>
      </w:r>
    </w:p>
    <w:p w14:paraId="1A7742EE">
      <w:pPr>
        <w:spacing w:after="93" w:afterLines="30"/>
        <w:ind w:firstLine="402" w:firstLineChars="2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若发生本说明书约定的存续期兑付，则在存续期兑付日，相应兑付份额在产品成立日至存续期兑付日之间的累计年化收益率超过业绩比较基准，产品管理人将按照超出部分的</w:t>
      </w:r>
      <w:r>
        <w:rPr>
          <w:rFonts w:ascii="宋体" w:hAnsi="宋体"/>
          <w:b/>
          <w:color w:val="000000" w:themeColor="text1"/>
          <w:sz w:val="20"/>
          <w:szCs w:val="20"/>
          <w14:textFill>
            <w14:solidFill>
              <w14:schemeClr w14:val="tx1"/>
            </w14:solidFill>
          </w14:textFill>
        </w:rPr>
        <w:t>50</w:t>
      </w:r>
      <w:r>
        <w:rPr>
          <w:rFonts w:hint="eastAsia" w:ascii="宋体" w:hAnsi="宋体"/>
          <w:b/>
          <w:color w:val="000000" w:themeColor="text1"/>
          <w:sz w:val="20"/>
          <w:szCs w:val="20"/>
          <w14:textFill>
            <w14:solidFill>
              <w14:schemeClr w14:val="tx1"/>
            </w14:solidFill>
          </w14:textFill>
        </w:rPr>
        <w:t>%计提超额业绩报酬。在产品终止日，除已兑付份额外的剩余份额在存续期内的累计年化收益率超过业绩比较基准，产品管理人将按照超出部分的</w:t>
      </w:r>
      <w:r>
        <w:rPr>
          <w:rFonts w:ascii="宋体" w:hAnsi="宋体"/>
          <w:b/>
          <w:color w:val="000000" w:themeColor="text1"/>
          <w:sz w:val="20"/>
          <w:szCs w:val="20"/>
          <w14:textFill>
            <w14:solidFill>
              <w14:schemeClr w14:val="tx1"/>
            </w14:solidFill>
          </w14:textFill>
        </w:rPr>
        <w:t>50</w:t>
      </w:r>
      <w:r>
        <w:rPr>
          <w:rFonts w:hint="eastAsia" w:ascii="宋体" w:hAnsi="宋体"/>
          <w:b/>
          <w:color w:val="000000" w:themeColor="text1"/>
          <w:sz w:val="20"/>
          <w:szCs w:val="20"/>
          <w14:textFill>
            <w14:solidFill>
              <w14:schemeClr w14:val="tx1"/>
            </w14:solidFill>
          </w14:textFill>
        </w:rPr>
        <w:t>%计提超额业绩报酬。此时本产品超额业绩报酬计提基准日为存续期兑付日和产品终止日。</w:t>
      </w:r>
    </w:p>
    <w:p w14:paraId="77220493">
      <w:pPr>
        <w:spacing w:after="93" w:afterLines="30"/>
        <w:ind w:firstLine="402" w:firstLineChars="2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计算累计年化收益率和业绩比较基准时，1年按3</w:t>
      </w:r>
      <w:r>
        <w:rPr>
          <w:rFonts w:ascii="宋体" w:hAnsi="宋体"/>
          <w:b/>
          <w:color w:val="000000" w:themeColor="text1"/>
          <w:sz w:val="20"/>
          <w:szCs w:val="20"/>
          <w14:textFill>
            <w14:solidFill>
              <w14:schemeClr w14:val="tx1"/>
            </w14:solidFill>
          </w14:textFill>
        </w:rPr>
        <w:t>65</w:t>
      </w:r>
      <w:r>
        <w:rPr>
          <w:rFonts w:hint="eastAsia" w:ascii="宋体" w:hAnsi="宋体"/>
          <w:b/>
          <w:color w:val="000000" w:themeColor="text1"/>
          <w:sz w:val="20"/>
          <w:szCs w:val="20"/>
          <w14:textFill>
            <w14:solidFill>
              <w14:schemeClr w14:val="tx1"/>
            </w14:solidFill>
          </w14:textFill>
        </w:rPr>
        <w:t>日计算。</w:t>
      </w:r>
    </w:p>
    <w:p w14:paraId="385D173A">
      <w:pPr>
        <w:spacing w:after="93" w:afterLines="30"/>
        <w:ind w:firstLine="402" w:firstLineChars="2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产品管理人于每个估值日模拟产品在估值日当天终止的情形，按照本产品说明书约定的超额业绩报酬计提方式暂估超额业绩报酬，用于产品会计和估值核算。该估值结果将作为产品管理人对外披露的净值的依据，但仅以本产品说明书约定的超额业绩报酬计提日当天确认计提的超额业绩报酬作为超额业绩报酬的结算依据。</w:t>
      </w:r>
    </w:p>
    <w:p w14:paraId="794754AF">
      <w:pPr>
        <w:spacing w:after="93" w:afterLines="30"/>
        <w:ind w:firstLine="402" w:firstLineChars="200"/>
        <w:rPr>
          <w:rFonts w:ascii="宋体" w:hAnsi="宋体"/>
          <w:b/>
          <w:sz w:val="20"/>
          <w:szCs w:val="20"/>
        </w:rPr>
      </w:pPr>
      <w:r>
        <w:rPr>
          <w:rFonts w:ascii="宋体" w:hAnsi="宋体"/>
          <w:b/>
          <w:sz w:val="20"/>
          <w:szCs w:val="20"/>
        </w:rPr>
        <w:t>5.</w:t>
      </w:r>
      <w:r>
        <w:rPr>
          <w:rFonts w:hint="eastAsia" w:ascii="宋体" w:hAnsi="宋体"/>
          <w:b/>
          <w:sz w:val="20"/>
        </w:rPr>
        <w:t>与本产品相关的其他费用</w:t>
      </w:r>
      <w:r>
        <w:rPr>
          <w:rFonts w:hint="eastAsia" w:ascii="宋体" w:hAnsi="宋体"/>
          <w:b/>
          <w:sz w:val="20"/>
          <w:szCs w:val="20"/>
        </w:rPr>
        <w:t>，包括但不限于银行划拨手续费、证券交易费用、期货交易费用、税费、审计费、为办理担保而产生的抵质押登记费等费用、律师费、诉讼费、仲裁费、保险费、担保费、保全费、评估费、评级费、公证费、执行费以及间接投资产生的相关费用等费用，由本产品承担，将在实际发生时按照实际发生额支付。若产品管理人先行垫付上述费用的，则本产品应支付给产品管理人，且产品管理人就该部分费用对本产品财产享有优先受偿的权利。</w:t>
      </w:r>
    </w:p>
    <w:p w14:paraId="2BF64509">
      <w:pPr>
        <w:spacing w:after="93" w:afterLines="30"/>
        <w:ind w:firstLine="402" w:firstLineChars="200"/>
        <w:rPr>
          <w:rFonts w:ascii="宋体" w:hAnsi="宋体"/>
          <w:b/>
          <w:sz w:val="20"/>
          <w:szCs w:val="20"/>
        </w:rPr>
      </w:pPr>
      <w:r>
        <w:rPr>
          <w:rFonts w:hint="eastAsia" w:ascii="宋体" w:hAnsi="宋体"/>
          <w:b/>
          <w:sz w:val="20"/>
          <w:szCs w:val="20"/>
        </w:rPr>
        <w:t>6.本产品不收取认购费用、申购费用、赎回费用。</w:t>
      </w:r>
    </w:p>
    <w:p w14:paraId="638B8EFB">
      <w:pPr>
        <w:spacing w:after="93" w:afterLines="30"/>
        <w:ind w:firstLine="402" w:firstLineChars="200"/>
        <w:rPr>
          <w:rFonts w:ascii="宋体" w:hAnsi="宋体"/>
          <w:b/>
          <w:sz w:val="20"/>
          <w:szCs w:val="20"/>
        </w:rPr>
      </w:pPr>
      <w:r>
        <w:rPr>
          <w:rFonts w:ascii="宋体" w:hAnsi="宋体"/>
          <w:b/>
          <w:sz w:val="20"/>
          <w:szCs w:val="20"/>
        </w:rPr>
        <w:t>7</w:t>
      </w:r>
      <w:r>
        <w:rPr>
          <w:rFonts w:hint="eastAsia" w:ascii="宋体" w:hAnsi="宋体"/>
          <w:b/>
          <w:sz w:val="20"/>
          <w:szCs w:val="20"/>
        </w:rPr>
        <w:t>.产品管理人有权根据市场情况等调整销售费率、固定管理费率、托管费率、超额业绩报酬和其他费用的计提方式和比例，并最晚于调整日之前2个工作日进行信息披露。</w:t>
      </w:r>
      <w:r>
        <w:rPr>
          <w:rFonts w:hint="eastAsia" w:ascii="宋体" w:hAnsi="宋体"/>
          <w:b/>
          <w:bCs/>
          <w:sz w:val="20"/>
          <w:szCs w:val="20"/>
        </w:rPr>
        <w:t>如投资者不接受的，可在信息披露生效前赎回本产品，</w:t>
      </w:r>
      <w:r>
        <w:rPr>
          <w:rFonts w:hint="eastAsia" w:ascii="宋体" w:hAnsi="宋体"/>
          <w:b/>
          <w:sz w:val="20"/>
          <w:szCs w:val="20"/>
        </w:rPr>
        <w:t>此种情况下产品管理人将可能开放特殊赎回期间，具体以产品管理人信息披露为准，投资者未赎回的，视为投资者同意调整并继续持有本产品。</w:t>
      </w:r>
    </w:p>
    <w:p w14:paraId="18622971">
      <w:pPr>
        <w:autoSpaceDE w:val="0"/>
        <w:autoSpaceDN w:val="0"/>
        <w:adjustRightInd w:val="0"/>
        <w:spacing w:after="93" w:afterLines="30"/>
        <w:ind w:firstLine="402" w:firstLineChars="200"/>
        <w:jc w:val="left"/>
        <w:rPr>
          <w:rFonts w:ascii="宋体" w:hAnsi="宋体" w:cs="宋体"/>
          <w:b/>
          <w:kern w:val="0"/>
          <w:sz w:val="20"/>
          <w:szCs w:val="20"/>
        </w:rPr>
      </w:pPr>
      <w:r>
        <w:rPr>
          <w:rFonts w:ascii="宋体" w:hAnsi="宋体" w:cs="宋体"/>
          <w:b/>
          <w:kern w:val="0"/>
          <w:sz w:val="20"/>
          <w:szCs w:val="20"/>
        </w:rPr>
        <w:t>（</w:t>
      </w:r>
      <w:r>
        <w:rPr>
          <w:rFonts w:hint="eastAsia" w:ascii="宋体" w:hAnsi="宋体" w:cs="宋体"/>
          <w:b/>
          <w:kern w:val="0"/>
          <w:sz w:val="20"/>
          <w:szCs w:val="20"/>
        </w:rPr>
        <w:t>二</w:t>
      </w:r>
      <w:r>
        <w:rPr>
          <w:rFonts w:ascii="宋体" w:hAnsi="宋体" w:cs="宋体"/>
          <w:b/>
          <w:kern w:val="0"/>
          <w:sz w:val="20"/>
          <w:szCs w:val="20"/>
        </w:rPr>
        <w:t>）税收</w:t>
      </w:r>
    </w:p>
    <w:p w14:paraId="4557A54D">
      <w:pPr>
        <w:spacing w:after="93" w:afterLines="30"/>
        <w:ind w:firstLine="402" w:firstLineChars="200"/>
        <w:rPr>
          <w:rFonts w:ascii="宋体" w:hAnsi="宋体"/>
          <w:b/>
          <w:sz w:val="20"/>
        </w:rPr>
      </w:pPr>
      <w:r>
        <w:rPr>
          <w:rFonts w:hint="eastAsia" w:ascii="宋体" w:hAnsi="宋体"/>
          <w:b/>
          <w:sz w:val="20"/>
        </w:rPr>
        <w:t>本产品运作过程中涉及的各纳税主体，其纳税义务按国家税收法律、法规执行。</w:t>
      </w:r>
    </w:p>
    <w:p w14:paraId="578F5DDD">
      <w:pPr>
        <w:spacing w:after="93" w:afterLines="30"/>
        <w:ind w:firstLine="402" w:firstLineChars="200"/>
        <w:rPr>
          <w:rFonts w:ascii="宋体" w:hAnsi="宋体"/>
          <w:b/>
          <w:sz w:val="20"/>
        </w:rPr>
      </w:pPr>
      <w:r>
        <w:rPr>
          <w:rFonts w:hint="eastAsia" w:ascii="宋体" w:hAnsi="宋体"/>
          <w:b/>
          <w:sz w:val="20"/>
        </w:rPr>
        <w:t>根据财政部、国家税务总局相关税收监管政策的规定，理财产品运营过程中发生的增值税应税行为，以理财产品管理人为增值税纳税人，计算、申报并缴纳增值税及附加税费（包括但不限于城市维护建设税、教育费附加及地方教育附加等）。建信理财有限责任公司作为理财产品管理人</w:t>
      </w:r>
      <w:r>
        <w:rPr>
          <w:rFonts w:ascii="宋体" w:hAnsi="宋体"/>
          <w:b/>
          <w:sz w:val="20"/>
        </w:rPr>
        <w:t>,将按照相关规定计算应缴纳的税费，并从理财产品财产中支付，由此可能会使理财产品净值或实际收益降低，请投资者知悉。</w:t>
      </w:r>
    </w:p>
    <w:p w14:paraId="13B346FB">
      <w:pPr>
        <w:spacing w:after="93" w:afterLines="30"/>
        <w:ind w:firstLine="402" w:firstLineChars="200"/>
        <w:rPr>
          <w:rFonts w:ascii="宋体" w:hAnsi="宋体"/>
          <w:b/>
          <w:sz w:val="20"/>
        </w:rPr>
      </w:pPr>
      <w:r>
        <w:rPr>
          <w:rFonts w:hint="eastAsia" w:ascii="宋体" w:hAnsi="宋体"/>
          <w:b/>
          <w:sz w:val="20"/>
        </w:rPr>
        <w:t>投资者从理财产品取得的收益应缴纳的税款，由投资者自行申报及缴纳。</w:t>
      </w:r>
    </w:p>
    <w:p w14:paraId="190F512D">
      <w:pPr>
        <w:spacing w:after="93" w:afterLines="30"/>
        <w:ind w:firstLine="402" w:firstLineChars="200"/>
        <w:rPr>
          <w:rFonts w:ascii="宋体" w:hAnsi="宋体"/>
          <w:b/>
          <w:sz w:val="20"/>
        </w:rPr>
      </w:pPr>
      <w:r>
        <w:rPr>
          <w:rFonts w:hint="eastAsia" w:ascii="宋体" w:hAnsi="宋体"/>
          <w:b/>
          <w:sz w:val="20"/>
        </w:rPr>
        <w:t>后续国家法律法规如对相关税收政策进行调整，产品管理人有权根据税收政策相应调整</w:t>
      </w:r>
      <w:r>
        <w:rPr>
          <w:rFonts w:hint="eastAsia" w:ascii="宋体" w:hAnsi="宋体"/>
          <w:b/>
          <w:sz w:val="20"/>
          <w:szCs w:val="20"/>
        </w:rPr>
        <w:t>理财</w:t>
      </w:r>
      <w:r>
        <w:rPr>
          <w:rFonts w:hint="eastAsia" w:ascii="宋体" w:hAnsi="宋体"/>
          <w:b/>
          <w:sz w:val="20"/>
        </w:rPr>
        <w:t>产品运营过程中发生的税费的承担方式。若相关税收法规规定产品管理人应代扣代缴相关税款，产品管理人有权依法履行代扣代缴义务，投资者对此应给予配合。</w:t>
      </w:r>
    </w:p>
    <w:p w14:paraId="7BDD1CF0">
      <w:pPr>
        <w:pStyle w:val="5"/>
        <w:tabs>
          <w:tab w:val="left" w:pos="720"/>
        </w:tabs>
        <w:spacing w:after="93" w:afterLines="30"/>
        <w:ind w:left="0" w:leftChars="0" w:firstLine="402" w:firstLineChars="200"/>
        <w:rPr>
          <w:rFonts w:ascii="宋体" w:hAnsi="宋体"/>
          <w:b/>
          <w:szCs w:val="20"/>
        </w:rPr>
      </w:pPr>
    </w:p>
    <w:p w14:paraId="33A510B3">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六、产品终止说明</w:t>
      </w:r>
    </w:p>
    <w:p w14:paraId="761F76D7">
      <w:pPr>
        <w:tabs>
          <w:tab w:val="left" w:pos="720"/>
        </w:tabs>
        <w:spacing w:after="93" w:afterLines="30"/>
        <w:ind w:firstLine="284"/>
        <w:rPr>
          <w:rFonts w:ascii="宋体" w:hAnsi="宋体"/>
          <w:sz w:val="20"/>
          <w:szCs w:val="20"/>
        </w:rPr>
      </w:pPr>
      <w:r>
        <w:rPr>
          <w:rFonts w:hint="eastAsia" w:ascii="宋体" w:hAnsi="宋体"/>
          <w:sz w:val="20"/>
          <w:szCs w:val="20"/>
        </w:rPr>
        <w:t>（一）</w:t>
      </w:r>
      <w:r>
        <w:rPr>
          <w:rFonts w:hint="eastAsia" w:ascii="宋体" w:hAnsi="宋体"/>
          <w:sz w:val="20"/>
        </w:rPr>
        <w:t>到期兑付</w:t>
      </w:r>
      <w:r>
        <w:rPr>
          <w:rFonts w:ascii="宋体" w:hAnsi="宋体"/>
          <w:sz w:val="20"/>
        </w:rPr>
        <w:t>/延迟兑付</w:t>
      </w:r>
    </w:p>
    <w:p w14:paraId="515987B1">
      <w:pPr>
        <w:tabs>
          <w:tab w:val="left" w:pos="720"/>
        </w:tabs>
        <w:spacing w:after="93" w:afterLines="30"/>
        <w:ind w:firstLine="284"/>
        <w:rPr>
          <w:rFonts w:ascii="宋体" w:hAnsi="宋体"/>
          <w:sz w:val="20"/>
          <w:szCs w:val="20"/>
        </w:rPr>
      </w:pPr>
      <w:r>
        <w:rPr>
          <w:rFonts w:hint="eastAsia" w:ascii="宋体" w:hAnsi="宋体"/>
          <w:sz w:val="20"/>
          <w:szCs w:val="20"/>
        </w:rPr>
        <w:t>在理财产品到期日，对于理财产品所投资资产全部变现的部分，产品管理人在产品到期日后</w:t>
      </w:r>
      <w:r>
        <w:rPr>
          <w:rFonts w:ascii="宋体" w:hAnsi="宋体"/>
          <w:sz w:val="20"/>
          <w:szCs w:val="20"/>
        </w:rPr>
        <w:t>3</w:t>
      </w:r>
      <w:r>
        <w:rPr>
          <w:rFonts w:hint="eastAsia" w:ascii="宋体" w:hAnsi="宋体"/>
          <w:sz w:val="20"/>
          <w:szCs w:val="20"/>
        </w:rPr>
        <w:t>个工作日内，将扣除相关费用后的客户理财资金一次性支付至客户约定交易账户。</w:t>
      </w:r>
      <w:r>
        <w:rPr>
          <w:rFonts w:hint="eastAsia" w:ascii="宋体" w:hAnsi="宋体"/>
          <w:b/>
          <w:sz w:val="20"/>
          <w:szCs w:val="20"/>
        </w:rPr>
        <w:t>若理财产品所投资资产不能全部变现，产品管理人在到期日后2个工作日内对资产不能变现的情况进行信息披露</w:t>
      </w:r>
      <w:r>
        <w:rPr>
          <w:rFonts w:hint="eastAsia" w:ascii="宋体" w:hAnsi="宋体"/>
          <w:sz w:val="20"/>
          <w:szCs w:val="20"/>
        </w:rPr>
        <w:t>，对于未能变现的部分，产品管理人在资产变现后1</w:t>
      </w:r>
      <w:r>
        <w:rPr>
          <w:rFonts w:ascii="宋体" w:hAnsi="宋体"/>
          <w:sz w:val="20"/>
          <w:szCs w:val="20"/>
        </w:rPr>
        <w:t>0</w:t>
      </w:r>
      <w:r>
        <w:rPr>
          <w:rFonts w:hint="eastAsia" w:ascii="宋体" w:hAnsi="宋体"/>
          <w:sz w:val="20"/>
          <w:szCs w:val="20"/>
        </w:rPr>
        <w:t>个工作日内，将扣除相关费用后的客户剩余理财资金一次性支付至客户约定交易账户。</w:t>
      </w:r>
    </w:p>
    <w:p w14:paraId="5AECF057">
      <w:pPr>
        <w:tabs>
          <w:tab w:val="left" w:pos="720"/>
        </w:tabs>
        <w:spacing w:after="93" w:afterLines="30"/>
        <w:ind w:firstLine="284"/>
        <w:rPr>
          <w:rFonts w:ascii="宋体" w:hAnsi="宋体"/>
          <w:b/>
          <w:sz w:val="20"/>
          <w:szCs w:val="20"/>
        </w:rPr>
      </w:pPr>
      <w:r>
        <w:rPr>
          <w:rFonts w:hint="eastAsia" w:ascii="宋体" w:hAnsi="宋体"/>
          <w:b/>
          <w:sz w:val="20"/>
          <w:szCs w:val="20"/>
        </w:rPr>
        <w:t>（二）提前终止</w:t>
      </w:r>
    </w:p>
    <w:p w14:paraId="7E10399B">
      <w:pPr>
        <w:tabs>
          <w:tab w:val="left" w:pos="720"/>
        </w:tabs>
        <w:spacing w:after="93" w:afterLines="30"/>
        <w:ind w:firstLine="284"/>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产品管理人有权利但无义务提前终止本产品的情形包括但不限于：</w:t>
      </w:r>
    </w:p>
    <w:p w14:paraId="70520C21">
      <w:pPr>
        <w:spacing w:after="93" w:afterLines="30"/>
        <w:ind w:firstLine="400" w:firstLineChars="200"/>
        <w:rPr>
          <w:rFonts w:ascii="宋体" w:hAnsi="宋体"/>
          <w:sz w:val="20"/>
        </w:rPr>
      </w:pPr>
      <w:r>
        <w:rPr>
          <w:rFonts w:ascii="宋体" w:hAnsi="宋体"/>
          <w:sz w:val="20"/>
        </w:rPr>
        <w:t>1.</w:t>
      </w:r>
      <w:r>
        <w:rPr>
          <w:rFonts w:hint="eastAsia" w:ascii="宋体" w:hAnsi="宋体"/>
          <w:sz w:val="20"/>
        </w:rPr>
        <w:t>法律法规或国家金融政策变化或监管要求影响本产品继续正常运作；</w:t>
      </w:r>
    </w:p>
    <w:p w14:paraId="34E75C9C">
      <w:pPr>
        <w:spacing w:after="93" w:afterLines="30"/>
        <w:ind w:firstLine="400" w:firstLineChars="200"/>
        <w:rPr>
          <w:rFonts w:ascii="宋体" w:hAnsi="宋体"/>
          <w:sz w:val="20"/>
        </w:rPr>
      </w:pPr>
      <w:r>
        <w:rPr>
          <w:rFonts w:ascii="宋体" w:hAnsi="宋体"/>
          <w:sz w:val="20"/>
        </w:rPr>
        <w:t>2.因市场</w:t>
      </w:r>
      <w:r>
        <w:rPr>
          <w:rFonts w:hint="eastAsia" w:ascii="宋体" w:hAnsi="宋体"/>
          <w:sz w:val="20"/>
        </w:rPr>
        <w:t>出现剧烈波动、异常风险、利率大幅下滑事件等情形导致本产品收益出现大幅波动或严重影响本产品的资产安全；</w:t>
      </w:r>
    </w:p>
    <w:p w14:paraId="472BD15C">
      <w:pPr>
        <w:spacing w:after="93" w:afterLines="30"/>
        <w:ind w:firstLine="400" w:firstLineChars="200"/>
        <w:rPr>
          <w:rFonts w:ascii="宋体" w:hAnsi="宋体"/>
          <w:sz w:val="20"/>
        </w:rPr>
      </w:pPr>
      <w:r>
        <w:rPr>
          <w:rFonts w:ascii="宋体" w:hAnsi="宋体"/>
          <w:sz w:val="20"/>
        </w:rPr>
        <w:t>3.</w:t>
      </w:r>
      <w:r>
        <w:rPr>
          <w:rFonts w:hint="eastAsia" w:ascii="宋体" w:hAnsi="宋体"/>
          <w:sz w:val="20"/>
        </w:rPr>
        <w:t>本产品投向的金融资产出现涉及的融资方</w:t>
      </w:r>
      <w:r>
        <w:rPr>
          <w:rFonts w:ascii="宋体" w:hAnsi="宋体"/>
          <w:sz w:val="20"/>
        </w:rPr>
        <w:t>/义务人</w:t>
      </w:r>
      <w:r>
        <w:rPr>
          <w:rFonts w:hint="eastAsia" w:ascii="宋体" w:hAnsi="宋体"/>
          <w:sz w:val="20"/>
        </w:rPr>
        <w:t>等相关主体信用恶化、</w:t>
      </w:r>
      <w:r>
        <w:rPr>
          <w:rFonts w:ascii="宋体" w:hAnsi="宋体"/>
          <w:sz w:val="20"/>
        </w:rPr>
        <w:t>发生信用风险事件</w:t>
      </w:r>
      <w:r>
        <w:rPr>
          <w:rFonts w:hint="eastAsia" w:ascii="宋体" w:hAnsi="宋体"/>
          <w:sz w:val="20"/>
        </w:rPr>
        <w:t>，或提前</w:t>
      </w:r>
      <w:r>
        <w:rPr>
          <w:rFonts w:ascii="宋体" w:hAnsi="宋体"/>
          <w:sz w:val="20"/>
        </w:rPr>
        <w:t>/立即偿还相关融资本金利息</w:t>
      </w:r>
      <w:r>
        <w:rPr>
          <w:rFonts w:hint="eastAsia" w:ascii="宋体" w:hAnsi="宋体"/>
          <w:sz w:val="20"/>
        </w:rPr>
        <w:t>，或者由于市场原因、政府机构等原因导致相关债权被宣布提前</w:t>
      </w:r>
      <w:r>
        <w:rPr>
          <w:rFonts w:ascii="宋体" w:hAnsi="宋体"/>
          <w:sz w:val="20"/>
        </w:rPr>
        <w:t>/</w:t>
      </w:r>
      <w:r>
        <w:rPr>
          <w:rFonts w:hint="eastAsia" w:ascii="宋体" w:hAnsi="宋体"/>
          <w:sz w:val="20"/>
        </w:rPr>
        <w:t>立即到期等情形；</w:t>
      </w:r>
    </w:p>
    <w:p w14:paraId="47882BE8">
      <w:pPr>
        <w:spacing w:after="93" w:afterLines="30"/>
        <w:ind w:firstLine="400" w:firstLineChars="200"/>
        <w:rPr>
          <w:rFonts w:ascii="宋体" w:hAnsi="宋体"/>
          <w:sz w:val="20"/>
        </w:rPr>
      </w:pPr>
      <w:r>
        <w:rPr>
          <w:rFonts w:ascii="宋体" w:hAnsi="宋体"/>
          <w:sz w:val="20"/>
        </w:rPr>
        <w:t>4.</w:t>
      </w:r>
      <w:r>
        <w:rPr>
          <w:rFonts w:hint="eastAsia" w:ascii="宋体" w:hAnsi="宋体"/>
          <w:sz w:val="20"/>
        </w:rPr>
        <w:t>因本产品投向的资产管理计划</w:t>
      </w:r>
      <w:r>
        <w:rPr>
          <w:rFonts w:ascii="宋体" w:hAnsi="宋体"/>
          <w:sz w:val="20"/>
        </w:rPr>
        <w:t>/产品</w:t>
      </w:r>
      <w:r>
        <w:rPr>
          <w:rFonts w:hint="eastAsia" w:ascii="宋体" w:hAnsi="宋体"/>
          <w:sz w:val="20"/>
        </w:rPr>
        <w:t>、信托计划等提前终止；</w:t>
      </w:r>
    </w:p>
    <w:p w14:paraId="0735E8B7">
      <w:pPr>
        <w:spacing w:after="93" w:afterLines="30"/>
        <w:ind w:firstLine="400" w:firstLineChars="200"/>
        <w:rPr>
          <w:rFonts w:ascii="宋体" w:hAnsi="宋体"/>
          <w:sz w:val="20"/>
        </w:rPr>
      </w:pPr>
      <w:r>
        <w:rPr>
          <w:rFonts w:ascii="宋体" w:hAnsi="宋体"/>
          <w:sz w:val="20"/>
        </w:rPr>
        <w:t>5.</w:t>
      </w:r>
      <w:r>
        <w:rPr>
          <w:rFonts w:hint="eastAsia" w:ascii="宋体" w:hAnsi="宋体"/>
          <w:sz w:val="20"/>
        </w:rPr>
        <w:t>因理财资金被有权机关扣划等原因导致本产品剩余资产无法满足相关法律法规规定、所投资市场要求或协议等相关法律文件约定，或者导致本产品继续存续无法实现投资目标；</w:t>
      </w:r>
      <w:r>
        <w:rPr>
          <w:rFonts w:ascii="宋体" w:hAnsi="宋体"/>
          <w:sz w:val="20"/>
        </w:rPr>
        <w:t xml:space="preserve"> </w:t>
      </w:r>
    </w:p>
    <w:p w14:paraId="26F9256D">
      <w:pPr>
        <w:spacing w:after="93" w:afterLines="30"/>
        <w:ind w:firstLine="400" w:firstLineChars="200"/>
        <w:rPr>
          <w:rFonts w:ascii="宋体" w:hAnsi="宋体"/>
          <w:sz w:val="20"/>
        </w:rPr>
      </w:pPr>
      <w:r>
        <w:rPr>
          <w:rFonts w:ascii="宋体" w:hAnsi="宋体"/>
          <w:sz w:val="20"/>
        </w:rPr>
        <w:t>6.</w:t>
      </w:r>
      <w:r>
        <w:rPr>
          <w:rFonts w:hint="eastAsia" w:ascii="宋体" w:hAnsi="宋体"/>
          <w:sz w:val="20"/>
        </w:rPr>
        <w:t>不可抗力或意外事件导致本产品无法继续运作；</w:t>
      </w:r>
    </w:p>
    <w:p w14:paraId="0C08431E">
      <w:pPr>
        <w:spacing w:after="93" w:afterLines="30"/>
        <w:ind w:firstLine="400" w:firstLineChars="200"/>
        <w:rPr>
          <w:rFonts w:ascii="宋体" w:hAnsi="宋体"/>
          <w:sz w:val="20"/>
        </w:rPr>
      </w:pPr>
      <w:r>
        <w:rPr>
          <w:rFonts w:ascii="宋体" w:hAnsi="宋体"/>
          <w:sz w:val="20"/>
        </w:rPr>
        <w:t>7.</w:t>
      </w:r>
      <w:r>
        <w:rPr>
          <w:rFonts w:hint="eastAsia" w:ascii="宋体" w:hAnsi="宋体"/>
          <w:sz w:val="20"/>
        </w:rPr>
        <w:t>投资者一致决定提前终止，并获得产品管理人同意的；</w:t>
      </w:r>
    </w:p>
    <w:p w14:paraId="5DCF0E70">
      <w:pPr>
        <w:spacing w:after="93" w:afterLines="30"/>
        <w:ind w:firstLine="400" w:firstLineChars="200"/>
        <w:rPr>
          <w:sz w:val="20"/>
          <w:szCs w:val="20"/>
        </w:rPr>
      </w:pPr>
      <w:r>
        <w:rPr>
          <w:rFonts w:ascii="宋体" w:hAnsi="宋体"/>
          <w:sz w:val="20"/>
          <w:szCs w:val="20"/>
        </w:rPr>
        <w:t>8.</w:t>
      </w:r>
      <w:r>
        <w:rPr>
          <w:rFonts w:hint="eastAsia"/>
          <w:sz w:val="20"/>
          <w:szCs w:val="20"/>
        </w:rPr>
        <w:t>为维护投资者利益，产品管理人认为需要提前终止的；</w:t>
      </w:r>
    </w:p>
    <w:p w14:paraId="4C9CD701">
      <w:pPr>
        <w:spacing w:after="93" w:afterLines="30"/>
        <w:ind w:firstLine="400" w:firstLineChars="200"/>
        <w:rPr>
          <w:rFonts w:ascii="宋体" w:hAnsi="宋体"/>
          <w:sz w:val="20"/>
          <w:szCs w:val="20"/>
        </w:rPr>
      </w:pPr>
      <w:r>
        <w:rPr>
          <w:sz w:val="20"/>
          <w:szCs w:val="20"/>
        </w:rPr>
        <w:t>9.</w:t>
      </w:r>
      <w:r>
        <w:rPr>
          <w:rFonts w:hint="eastAsia"/>
          <w:sz w:val="20"/>
          <w:szCs w:val="20"/>
        </w:rPr>
        <w:t>市场发生重大变动或突发性事件，产品管理人认为需要提前终止的；</w:t>
      </w:r>
    </w:p>
    <w:p w14:paraId="7334A07B">
      <w:pPr>
        <w:spacing w:after="93" w:afterLines="30"/>
        <w:ind w:firstLine="400" w:firstLineChars="200"/>
        <w:rPr>
          <w:rFonts w:ascii="宋体" w:hAnsi="宋体"/>
          <w:color w:val="000000"/>
          <w:kern w:val="0"/>
          <w:sz w:val="20"/>
        </w:rPr>
      </w:pPr>
      <w:r>
        <w:rPr>
          <w:rFonts w:ascii="宋体" w:hAnsi="宋体"/>
          <w:sz w:val="20"/>
        </w:rPr>
        <w:t>10.</w:t>
      </w:r>
      <w:r>
        <w:rPr>
          <w:rFonts w:hint="eastAsia" w:ascii="宋体" w:hAnsi="宋体"/>
          <w:color w:val="000000"/>
          <w:kern w:val="0"/>
          <w:sz w:val="20"/>
        </w:rPr>
        <w:t>产品管理人</w:t>
      </w:r>
      <w:r>
        <w:rPr>
          <w:rFonts w:hint="eastAsia" w:ascii="宋体" w:hAnsi="宋体" w:cs="宋体"/>
          <w:color w:val="000000"/>
          <w:kern w:val="0"/>
          <w:sz w:val="20"/>
          <w:szCs w:val="20"/>
        </w:rPr>
        <w:t>有合理理由认为将影响本产品运作的其他情形。</w:t>
      </w:r>
    </w:p>
    <w:p w14:paraId="28BA7D39">
      <w:pPr>
        <w:tabs>
          <w:tab w:val="left" w:pos="720"/>
        </w:tabs>
        <w:spacing w:after="93" w:afterLines="30"/>
        <w:ind w:firstLine="402" w:firstLineChars="200"/>
        <w:rPr>
          <w:rFonts w:ascii="宋体" w:hAnsi="宋体"/>
          <w:sz w:val="20"/>
        </w:rPr>
      </w:pPr>
      <w:r>
        <w:rPr>
          <w:rFonts w:hint="eastAsia" w:ascii="宋体" w:hAnsi="宋体"/>
          <w:b/>
          <w:sz w:val="20"/>
        </w:rPr>
        <w:t>若产品管理人决定提前终止本产品，产品管理人最晚于提前终止日对提前终止进行信息披露，提前终止日后</w:t>
      </w:r>
      <w:r>
        <w:rPr>
          <w:rFonts w:ascii="宋体" w:hAnsi="宋体"/>
          <w:b/>
          <w:sz w:val="20"/>
        </w:rPr>
        <w:t>5个</w:t>
      </w:r>
      <w:r>
        <w:rPr>
          <w:rFonts w:hint="eastAsia" w:ascii="宋体" w:hAnsi="宋体"/>
          <w:b/>
          <w:bCs/>
          <w:sz w:val="20"/>
          <w:szCs w:val="20"/>
        </w:rPr>
        <w:t>工作日内</w:t>
      </w:r>
      <w:r>
        <w:rPr>
          <w:rFonts w:hint="eastAsia" w:ascii="宋体" w:hAnsi="宋体"/>
          <w:sz w:val="20"/>
        </w:rPr>
        <w:t>，投资者理财资金将返还至投资者约定交易账户。</w:t>
      </w:r>
    </w:p>
    <w:p w14:paraId="121E8DEA">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（三）延期终止</w:t>
      </w:r>
    </w:p>
    <w:p w14:paraId="7A38F2C0">
      <w:pPr>
        <w:tabs>
          <w:tab w:val="left" w:pos="720"/>
        </w:tabs>
        <w:spacing w:after="93" w:afterLines="30"/>
        <w:ind w:firstLine="402" w:firstLineChars="200"/>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产品管理人有权利但无义务延期终止本产品的情形包括但不限于：</w:t>
      </w:r>
    </w:p>
    <w:p w14:paraId="0DDFFEE2">
      <w:pPr>
        <w:tabs>
          <w:tab w:val="left" w:pos="720"/>
        </w:tabs>
        <w:spacing w:after="93" w:afterLines="30"/>
        <w:ind w:firstLine="400" w:firstLineChars="200"/>
        <w:rPr>
          <w:rFonts w:ascii="宋体" w:hAnsi="宋体"/>
          <w:sz w:val="20"/>
          <w:szCs w:val="20"/>
        </w:rPr>
      </w:pPr>
      <w:r>
        <w:rPr>
          <w:rFonts w:ascii="宋体" w:hAnsi="宋体"/>
          <w:sz w:val="20"/>
          <w:szCs w:val="20"/>
        </w:rPr>
        <w:t>1.预计在本产品计划到期日，本产品投向的基础资产无法全部变现</w:t>
      </w:r>
      <w:r>
        <w:rPr>
          <w:rFonts w:hint="eastAsia" w:ascii="宋体" w:hAnsi="宋体"/>
          <w:sz w:val="20"/>
          <w:szCs w:val="20"/>
        </w:rPr>
        <w:t>，或本产品所投资的金融产品的受托人或管理人不能或者可能不能按期划付本产品的本金或收益；</w:t>
      </w:r>
    </w:p>
    <w:p w14:paraId="367C1677">
      <w:pPr>
        <w:tabs>
          <w:tab w:val="left" w:pos="720"/>
        </w:tabs>
        <w:spacing w:after="93" w:afterLines="30"/>
        <w:ind w:firstLine="400" w:firstLineChars="200"/>
        <w:rPr>
          <w:rFonts w:ascii="宋体" w:hAnsi="宋体"/>
          <w:sz w:val="20"/>
          <w:szCs w:val="20"/>
        </w:rPr>
      </w:pPr>
      <w:r>
        <w:rPr>
          <w:rFonts w:ascii="宋体" w:hAnsi="宋体"/>
          <w:sz w:val="20"/>
          <w:szCs w:val="20"/>
        </w:rPr>
        <w:t>2.本产品涉及诉讼或仲裁，且预计在本产品计划到期日，诉讼或仲裁及执行程序于本产品计划到期日尚未终结或所涉及资产无法全部变现；</w:t>
      </w:r>
    </w:p>
    <w:p w14:paraId="405BFEBA">
      <w:pPr>
        <w:spacing w:after="93" w:afterLines="30"/>
        <w:ind w:firstLine="400" w:firstLineChars="200"/>
        <w:rPr>
          <w:rFonts w:ascii="宋体" w:hAnsi="宋体"/>
          <w:sz w:val="20"/>
          <w:szCs w:val="20"/>
        </w:rPr>
      </w:pPr>
      <w:r>
        <w:rPr>
          <w:rFonts w:ascii="宋体" w:hAnsi="宋体"/>
          <w:sz w:val="20"/>
          <w:szCs w:val="20"/>
        </w:rPr>
        <w:t>3.</w:t>
      </w:r>
      <w:r>
        <w:rPr>
          <w:rFonts w:hint="eastAsia" w:ascii="宋体" w:hAnsi="宋体"/>
          <w:sz w:val="20"/>
          <w:szCs w:val="20"/>
        </w:rPr>
        <w:t>为维护投资者利益，产品管理人认为需要延期终止的；</w:t>
      </w:r>
    </w:p>
    <w:p w14:paraId="04621CE8">
      <w:pPr>
        <w:spacing w:after="93" w:afterLines="30"/>
        <w:ind w:firstLine="400" w:firstLineChars="200"/>
        <w:rPr>
          <w:rFonts w:ascii="宋体" w:hAnsi="宋体"/>
          <w:sz w:val="20"/>
          <w:szCs w:val="20"/>
        </w:rPr>
      </w:pPr>
      <w:r>
        <w:rPr>
          <w:rFonts w:ascii="宋体" w:hAnsi="宋体"/>
          <w:sz w:val="20"/>
          <w:szCs w:val="20"/>
        </w:rPr>
        <w:t>4.</w:t>
      </w:r>
      <w:r>
        <w:rPr>
          <w:rFonts w:hint="eastAsia" w:ascii="宋体" w:hAnsi="宋体"/>
          <w:sz w:val="20"/>
          <w:szCs w:val="20"/>
        </w:rPr>
        <w:t>市场发生重大变动或突发性事件，产品管理人认为需要延期终止的；</w:t>
      </w:r>
    </w:p>
    <w:p w14:paraId="44241E3E">
      <w:pPr>
        <w:spacing w:after="93" w:afterLines="30"/>
        <w:ind w:firstLine="400" w:firstLineChars="200"/>
        <w:rPr>
          <w:rFonts w:ascii="宋体" w:hAnsi="宋体" w:cs="宋体"/>
          <w:color w:val="000000"/>
          <w:kern w:val="0"/>
          <w:sz w:val="20"/>
          <w:szCs w:val="20"/>
        </w:rPr>
      </w:pPr>
      <w:r>
        <w:rPr>
          <w:rFonts w:ascii="宋体" w:hAnsi="宋体"/>
          <w:sz w:val="20"/>
          <w:szCs w:val="20"/>
        </w:rPr>
        <w:t>5.</w:t>
      </w:r>
      <w:r>
        <w:rPr>
          <w:rFonts w:hint="eastAsia" w:ascii="宋体" w:hAnsi="宋体" w:cs="宋体"/>
          <w:color w:val="000000"/>
          <w:kern w:val="0"/>
          <w:sz w:val="20"/>
          <w:szCs w:val="20"/>
        </w:rPr>
        <w:t>产品管理人根据实际情况合理判断产品需要延期终止的；</w:t>
      </w:r>
    </w:p>
    <w:p w14:paraId="6FFAA2CC">
      <w:pPr>
        <w:spacing w:after="93" w:afterLines="30"/>
        <w:ind w:firstLine="400" w:firstLineChars="200"/>
        <w:rPr>
          <w:rFonts w:ascii="宋体" w:hAnsi="宋体" w:cs="宋体"/>
          <w:b/>
          <w:color w:val="000000"/>
          <w:kern w:val="0"/>
          <w:sz w:val="20"/>
          <w:szCs w:val="20"/>
        </w:rPr>
      </w:pPr>
      <w:r>
        <w:rPr>
          <w:rFonts w:ascii="宋体" w:hAnsi="宋体" w:cs="宋体"/>
          <w:color w:val="000000"/>
          <w:kern w:val="0"/>
          <w:sz w:val="20"/>
          <w:szCs w:val="20"/>
        </w:rPr>
        <w:t>6.法律法规或监管</w:t>
      </w:r>
      <w:r>
        <w:rPr>
          <w:rFonts w:hint="eastAsia" w:ascii="宋体" w:hAnsi="宋体" w:cs="宋体"/>
          <w:color w:val="000000"/>
          <w:kern w:val="0"/>
          <w:sz w:val="20"/>
          <w:szCs w:val="20"/>
        </w:rPr>
        <w:t>要求的其他情形。</w:t>
      </w:r>
    </w:p>
    <w:p w14:paraId="2E0C2B37">
      <w:pPr>
        <w:spacing w:after="93" w:afterLines="30"/>
        <w:ind w:firstLine="402" w:firstLineChars="200"/>
        <w:rPr>
          <w:rFonts w:ascii="宋体" w:hAnsi="宋体"/>
          <w:sz w:val="20"/>
        </w:rPr>
      </w:pPr>
      <w:r>
        <w:rPr>
          <w:rFonts w:hint="eastAsia" w:ascii="宋体" w:hAnsi="宋体"/>
          <w:b/>
          <w:sz w:val="20"/>
        </w:rPr>
        <w:t>若产品管理人决定延期终止本产品，产品管理人最晚于计划终止日对延期终止进行信息披露，延期终止日后5个</w:t>
      </w:r>
      <w:r>
        <w:rPr>
          <w:rFonts w:hint="eastAsia" w:ascii="宋体" w:hAnsi="宋体"/>
          <w:b/>
          <w:bCs/>
          <w:sz w:val="20"/>
          <w:szCs w:val="20"/>
        </w:rPr>
        <w:t>工作日内</w:t>
      </w:r>
      <w:r>
        <w:rPr>
          <w:rFonts w:hint="eastAsia" w:ascii="宋体" w:hAnsi="宋体"/>
          <w:sz w:val="20"/>
        </w:rPr>
        <w:t>，投资者理财资金将返还至投资者约定交易账户。</w:t>
      </w:r>
    </w:p>
    <w:p w14:paraId="4CF3B6B8">
      <w:pPr>
        <w:spacing w:after="93" w:afterLines="30"/>
        <w:ind w:firstLine="402" w:firstLineChars="200"/>
        <w:rPr>
          <w:rFonts w:ascii="宋体" w:hAnsi="宋体"/>
          <w:b/>
          <w:sz w:val="20"/>
          <w:szCs w:val="20"/>
        </w:rPr>
      </w:pPr>
      <w:r>
        <w:rPr>
          <w:rFonts w:hint="eastAsia" w:ascii="宋体" w:hAnsi="宋体"/>
          <w:b/>
          <w:sz w:val="20"/>
          <w:szCs w:val="20"/>
        </w:rPr>
        <w:t>（四）投资者收益测算</w:t>
      </w:r>
    </w:p>
    <w:p w14:paraId="75ACC110">
      <w:pPr>
        <w:spacing w:after="93" w:afterLines="30"/>
        <w:ind w:firstLine="402" w:firstLineChars="200"/>
        <w:rPr>
          <w:rFonts w:ascii="宋体" w:hAnsi="宋体"/>
          <w:b/>
          <w:sz w:val="20"/>
          <w:szCs w:val="20"/>
        </w:rPr>
      </w:pPr>
      <w:r>
        <w:rPr>
          <w:rFonts w:hint="eastAsia" w:ascii="宋体" w:hAnsi="宋体"/>
          <w:b/>
          <w:sz w:val="20"/>
          <w:szCs w:val="20"/>
        </w:rPr>
        <w:t>1.以下收益测算示例采用模拟数据计算，测算收益不等于实际收益，不代表以下的所有情形或某一情形一定会发生，投资者所能获得的收益以产品管理人的实际支付为准，请谨慎投资。</w:t>
      </w:r>
    </w:p>
    <w:p w14:paraId="537B0E08">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产品到期投资者</w:t>
      </w:r>
      <w:r>
        <w:rPr>
          <w:rFonts w:ascii="宋体" w:hAnsi="宋体"/>
          <w:sz w:val="20"/>
          <w:szCs w:val="20"/>
        </w:rPr>
        <w:t>收益</w:t>
      </w:r>
      <w:r>
        <w:rPr>
          <w:rFonts w:hint="eastAsia" w:ascii="宋体" w:hAnsi="宋体"/>
          <w:sz w:val="20"/>
          <w:szCs w:val="20"/>
        </w:rPr>
        <w:t>测算示例</w:t>
      </w:r>
    </w:p>
    <w:p w14:paraId="3D46542F">
      <w:pPr>
        <w:spacing w:after="93" w:afterLines="30"/>
        <w:ind w:firstLine="400" w:firstLineChars="200"/>
        <w:rPr>
          <w:rFonts w:ascii="宋体" w:hAnsi="宋体"/>
          <w:sz w:val="20"/>
          <w:szCs w:val="20"/>
        </w:rPr>
      </w:pPr>
      <w:r>
        <w:rPr>
          <w:rFonts w:hint="eastAsia" w:ascii="宋体" w:hAnsi="宋体"/>
          <w:sz w:val="20"/>
          <w:szCs w:val="20"/>
        </w:rPr>
        <w:t>情景1：假设投资者于募集期内认购本产品，投资本金为10,000,000.00元，购买产品时份额净值为1.000000元，折算份额为10,000,000.00份。产品到期时，产品份额净值为1.008903元，则兑付给投资者的资金为：</w:t>
      </w:r>
    </w:p>
    <w:p w14:paraId="500FAE5A">
      <w:pPr>
        <w:spacing w:after="93" w:afterLines="30"/>
        <w:ind w:firstLine="400" w:firstLineChars="200"/>
        <w:rPr>
          <w:rFonts w:ascii="宋体" w:hAnsi="宋体"/>
          <w:sz w:val="20"/>
          <w:szCs w:val="20"/>
        </w:rPr>
      </w:pPr>
      <w:r>
        <w:rPr>
          <w:rFonts w:hint="eastAsia" w:ascii="宋体" w:hAnsi="宋体"/>
          <w:sz w:val="20"/>
          <w:szCs w:val="20"/>
        </w:rPr>
        <w:t>10,000,000.00×1.008903=10,089,030.00（元）。</w:t>
      </w:r>
    </w:p>
    <w:p w14:paraId="1795E6CE">
      <w:pPr>
        <w:spacing w:after="93" w:afterLines="30"/>
        <w:ind w:firstLine="400" w:firstLineChars="200"/>
        <w:rPr>
          <w:rFonts w:ascii="宋体" w:hAnsi="宋体"/>
          <w:sz w:val="20"/>
          <w:szCs w:val="20"/>
        </w:rPr>
      </w:pPr>
      <w:r>
        <w:rPr>
          <w:rFonts w:hint="eastAsia" w:ascii="宋体" w:hAnsi="宋体"/>
          <w:sz w:val="20"/>
          <w:szCs w:val="20"/>
        </w:rPr>
        <w:t>情景2：假设投资者于募集期内认购本产品，投资本金为10,000,000.00元，购买产品时份额净值为1.000000元，折算份额为10,000,000.00份。产品到期时，产品份额净值为0.997500元，则兑付给投资者的资金为：</w:t>
      </w:r>
    </w:p>
    <w:p w14:paraId="329112C1">
      <w:pPr>
        <w:spacing w:after="93" w:afterLines="30"/>
        <w:ind w:firstLine="400" w:firstLineChars="200"/>
        <w:rPr>
          <w:rFonts w:ascii="宋体" w:hAnsi="宋体"/>
          <w:sz w:val="20"/>
          <w:szCs w:val="20"/>
        </w:rPr>
      </w:pPr>
      <w:r>
        <w:rPr>
          <w:rFonts w:hint="eastAsia" w:ascii="宋体" w:hAnsi="宋体"/>
          <w:sz w:val="20"/>
          <w:szCs w:val="20"/>
        </w:rPr>
        <w:t>10,000,000.00×0.997500</w:t>
      </w:r>
      <w:r>
        <w:rPr>
          <w:rFonts w:ascii="宋体" w:hAnsi="宋体"/>
          <w:sz w:val="20"/>
          <w:szCs w:val="20"/>
        </w:rPr>
        <w:t>=</w:t>
      </w:r>
      <w:r>
        <w:rPr>
          <w:rFonts w:hint="eastAsia" w:ascii="宋体" w:hAnsi="宋体"/>
          <w:sz w:val="20"/>
          <w:szCs w:val="20"/>
        </w:rPr>
        <w:t>9,975,000.00（元）。</w:t>
      </w:r>
    </w:p>
    <w:p w14:paraId="1E179DAD">
      <w:pPr>
        <w:spacing w:after="93" w:afterLines="30"/>
        <w:ind w:firstLine="400" w:firstLineChars="200"/>
        <w:rPr>
          <w:rFonts w:ascii="宋体" w:hAnsi="宋体"/>
          <w:bCs/>
          <w:sz w:val="20"/>
          <w:szCs w:val="20"/>
        </w:rPr>
      </w:pPr>
      <w:bookmarkStart w:id="2" w:name="_Hlk22829453"/>
      <w:r>
        <w:rPr>
          <w:rFonts w:hint="eastAsia" w:ascii="宋体" w:hAnsi="宋体"/>
          <w:bCs/>
          <w:sz w:val="20"/>
          <w:szCs w:val="20"/>
        </w:rPr>
        <w:t>最不利的投资情形和投资结果，主要体现为：一是产品到期可能发生的延期兑付；二是产品投资的资产折价变现，可能影响产品收益实现。产生上述可能结果的原因主要包括：一是投资的资产或资产组合目前受限于二级流通市场缺失，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w:t>
      </w:r>
      <w:bookmarkEnd w:id="2"/>
    </w:p>
    <w:p w14:paraId="12C00A79">
      <w:pPr>
        <w:spacing w:after="93" w:afterLines="30"/>
        <w:ind w:left="360"/>
        <w:rPr>
          <w:rFonts w:ascii="宋体" w:hAnsi="宋体"/>
          <w:sz w:val="20"/>
          <w:szCs w:val="20"/>
        </w:rPr>
      </w:pPr>
      <w:r>
        <w:rPr>
          <w:rFonts w:hint="eastAsia" w:ascii="宋体" w:hAnsi="宋体"/>
          <w:sz w:val="20"/>
          <w:szCs w:val="20"/>
        </w:rPr>
        <w:t>3.提前终止时收益测算示例：</w:t>
      </w:r>
    </w:p>
    <w:p w14:paraId="1B442C53">
      <w:pPr>
        <w:widowControl/>
        <w:spacing w:after="93" w:afterLines="30"/>
        <w:ind w:firstLine="420"/>
        <w:rPr>
          <w:rFonts w:ascii="宋体" w:hAnsi="宋体" w:cs="Arial"/>
          <w:kern w:val="0"/>
          <w:sz w:val="20"/>
          <w:szCs w:val="20"/>
        </w:rPr>
      </w:pPr>
      <w:r>
        <w:rPr>
          <w:rFonts w:hint="eastAsia" w:ascii="宋体" w:hAnsi="宋体" w:cs="Arial"/>
          <w:kern w:val="0"/>
          <w:sz w:val="20"/>
          <w:szCs w:val="20"/>
        </w:rPr>
        <w:t>假设持有份额</w:t>
      </w:r>
      <w:r>
        <w:rPr>
          <w:rFonts w:hint="eastAsia" w:ascii="宋体" w:hAnsi="宋体"/>
          <w:sz w:val="20"/>
          <w:szCs w:val="20"/>
        </w:rPr>
        <w:t>10,000,000.00</w:t>
      </w:r>
      <w:r>
        <w:rPr>
          <w:rFonts w:hint="eastAsia" w:ascii="宋体" w:hAnsi="宋体" w:cs="Arial"/>
          <w:kern w:val="0"/>
          <w:sz w:val="20"/>
          <w:szCs w:val="20"/>
        </w:rPr>
        <w:t>，</w:t>
      </w:r>
      <w:r>
        <w:rPr>
          <w:rFonts w:ascii="宋体" w:hAnsi="宋体" w:cs="Arial"/>
          <w:kern w:val="0"/>
          <w:sz w:val="20"/>
          <w:szCs w:val="20"/>
        </w:rPr>
        <w:t>终止日份额净值</w:t>
      </w:r>
      <w:r>
        <w:rPr>
          <w:rFonts w:hint="eastAsia" w:ascii="宋体" w:hAnsi="宋体" w:cs="Arial"/>
          <w:kern w:val="0"/>
          <w:sz w:val="20"/>
          <w:szCs w:val="20"/>
        </w:rPr>
        <w:t>1.008000元。在提前终止日，</w:t>
      </w:r>
      <w:r>
        <w:rPr>
          <w:rFonts w:hint="eastAsia" w:ascii="宋体" w:hAnsi="宋体"/>
          <w:sz w:val="20"/>
          <w:szCs w:val="20"/>
        </w:rPr>
        <w:t>兑付给投资者的资金为</w:t>
      </w:r>
      <w:r>
        <w:rPr>
          <w:rFonts w:hint="eastAsia" w:ascii="宋体" w:hAnsi="宋体" w:cs="Arial"/>
          <w:kern w:val="0"/>
          <w:sz w:val="20"/>
          <w:szCs w:val="20"/>
        </w:rPr>
        <w:t>：</w:t>
      </w:r>
    </w:p>
    <w:p w14:paraId="5FA5F27A">
      <w:pPr>
        <w:widowControl/>
        <w:spacing w:after="93" w:afterLines="30"/>
        <w:ind w:firstLine="420"/>
        <w:rPr>
          <w:rFonts w:ascii="宋体" w:hAnsi="宋体" w:cs="Arial"/>
          <w:kern w:val="0"/>
          <w:sz w:val="20"/>
          <w:szCs w:val="20"/>
        </w:rPr>
      </w:pPr>
      <w:r>
        <w:rPr>
          <w:rFonts w:hint="eastAsia" w:ascii="宋体" w:hAnsi="宋体"/>
          <w:sz w:val="20"/>
          <w:szCs w:val="20"/>
        </w:rPr>
        <w:t>10,000,000.00</w:t>
      </w:r>
      <w:r>
        <w:rPr>
          <w:rFonts w:ascii="宋体" w:hAnsi="宋体" w:cs="Arial"/>
          <w:kern w:val="0"/>
          <w:sz w:val="20"/>
          <w:szCs w:val="20"/>
        </w:rPr>
        <w:t>×</w:t>
      </w:r>
      <w:r>
        <w:rPr>
          <w:rFonts w:hint="eastAsia" w:ascii="宋体" w:hAnsi="宋体" w:cs="Arial"/>
          <w:kern w:val="0"/>
          <w:sz w:val="20"/>
          <w:szCs w:val="20"/>
        </w:rPr>
        <w:t>1.008000</w:t>
      </w:r>
      <w:r>
        <w:rPr>
          <w:rFonts w:ascii="宋体" w:hAnsi="宋体" w:cs="Arial"/>
          <w:kern w:val="0"/>
          <w:sz w:val="20"/>
          <w:szCs w:val="20"/>
        </w:rPr>
        <w:t>=</w:t>
      </w:r>
      <w:r>
        <w:rPr>
          <w:rFonts w:hint="eastAsia" w:ascii="宋体" w:hAnsi="宋体" w:cs="Arial"/>
          <w:kern w:val="0"/>
          <w:sz w:val="20"/>
          <w:szCs w:val="20"/>
        </w:rPr>
        <w:t>10,080,000.00（元）。</w:t>
      </w:r>
    </w:p>
    <w:p w14:paraId="31E3C84C">
      <w:pPr>
        <w:spacing w:after="93" w:afterLines="30"/>
        <w:ind w:left="360"/>
        <w:rPr>
          <w:rFonts w:ascii="宋体" w:hAnsi="宋体"/>
          <w:sz w:val="20"/>
          <w:szCs w:val="20"/>
        </w:rPr>
      </w:pPr>
      <w:r>
        <w:rPr>
          <w:rFonts w:ascii="宋体" w:hAnsi="宋体"/>
          <w:sz w:val="20"/>
          <w:szCs w:val="20"/>
        </w:rPr>
        <w:t>4</w:t>
      </w:r>
      <w:r>
        <w:rPr>
          <w:rFonts w:hint="eastAsia" w:ascii="宋体" w:hAnsi="宋体"/>
          <w:sz w:val="20"/>
          <w:szCs w:val="20"/>
        </w:rPr>
        <w:t>.延期终止时收益测算示例：</w:t>
      </w:r>
    </w:p>
    <w:p w14:paraId="286C39A8">
      <w:pPr>
        <w:widowControl/>
        <w:spacing w:after="93" w:afterLines="30"/>
        <w:ind w:firstLine="420"/>
        <w:rPr>
          <w:rFonts w:ascii="宋体" w:hAnsi="宋体"/>
          <w:kern w:val="0"/>
          <w:sz w:val="20"/>
        </w:rPr>
      </w:pPr>
      <w:r>
        <w:rPr>
          <w:rFonts w:hint="eastAsia" w:ascii="宋体" w:hAnsi="宋体" w:cs="Arial"/>
          <w:kern w:val="0"/>
          <w:sz w:val="20"/>
          <w:szCs w:val="20"/>
        </w:rPr>
        <w:t>假设持有份额</w:t>
      </w:r>
      <w:r>
        <w:rPr>
          <w:rFonts w:hint="eastAsia" w:ascii="宋体" w:hAnsi="宋体"/>
          <w:sz w:val="20"/>
          <w:szCs w:val="20"/>
        </w:rPr>
        <w:t>1</w:t>
      </w:r>
      <w:r>
        <w:rPr>
          <w:rFonts w:ascii="宋体" w:hAnsi="宋体"/>
          <w:sz w:val="20"/>
          <w:szCs w:val="20"/>
        </w:rPr>
        <w:t>0,0</w:t>
      </w:r>
      <w:r>
        <w:rPr>
          <w:rFonts w:hint="eastAsia" w:ascii="宋体" w:hAnsi="宋体"/>
          <w:sz w:val="20"/>
          <w:szCs w:val="20"/>
        </w:rPr>
        <w:t>00,000</w:t>
      </w:r>
      <w:r>
        <w:rPr>
          <w:rFonts w:hint="eastAsia" w:ascii="宋体" w:hAnsi="宋体"/>
          <w:sz w:val="20"/>
        </w:rPr>
        <w:t>.00</w:t>
      </w:r>
      <w:r>
        <w:rPr>
          <w:rFonts w:hint="eastAsia" w:ascii="宋体" w:hAnsi="宋体" w:cs="Arial"/>
          <w:kern w:val="0"/>
          <w:sz w:val="20"/>
          <w:szCs w:val="20"/>
        </w:rPr>
        <w:t>，延期</w:t>
      </w:r>
      <w:r>
        <w:rPr>
          <w:rFonts w:ascii="宋体" w:hAnsi="宋体" w:cs="Arial"/>
          <w:kern w:val="0"/>
          <w:sz w:val="20"/>
          <w:szCs w:val="20"/>
        </w:rPr>
        <w:t>终止日份额净值</w:t>
      </w:r>
      <w:r>
        <w:rPr>
          <w:rFonts w:hint="eastAsia" w:ascii="宋体" w:hAnsi="宋体" w:cs="Arial"/>
          <w:kern w:val="0"/>
          <w:sz w:val="20"/>
          <w:szCs w:val="20"/>
        </w:rPr>
        <w:t>1.03</w:t>
      </w:r>
      <w:r>
        <w:rPr>
          <w:rFonts w:ascii="宋体" w:hAnsi="宋体" w:cs="Arial"/>
          <w:kern w:val="0"/>
          <w:sz w:val="20"/>
          <w:szCs w:val="20"/>
        </w:rPr>
        <w:t>3</w:t>
      </w:r>
      <w:r>
        <w:rPr>
          <w:rFonts w:hint="eastAsia" w:ascii="宋体" w:hAnsi="宋体" w:cs="Arial"/>
          <w:kern w:val="0"/>
          <w:sz w:val="20"/>
          <w:szCs w:val="20"/>
        </w:rPr>
        <w:t>000</w:t>
      </w:r>
      <w:r>
        <w:rPr>
          <w:rFonts w:hint="eastAsia" w:ascii="宋体" w:hAnsi="宋体"/>
          <w:sz w:val="20"/>
          <w:szCs w:val="20"/>
        </w:rPr>
        <w:t>元</w:t>
      </w:r>
      <w:r>
        <w:rPr>
          <w:rFonts w:hint="eastAsia" w:ascii="宋体" w:hAnsi="宋体" w:cs="Arial"/>
          <w:kern w:val="0"/>
          <w:sz w:val="20"/>
          <w:szCs w:val="20"/>
        </w:rPr>
        <w:t>。在延期终止日，</w:t>
      </w:r>
      <w:r>
        <w:rPr>
          <w:rFonts w:hint="eastAsia" w:ascii="宋体" w:hAnsi="宋体"/>
          <w:sz w:val="20"/>
          <w:szCs w:val="20"/>
        </w:rPr>
        <w:t>兑付给投资者的资金为</w:t>
      </w:r>
      <w:r>
        <w:rPr>
          <w:rFonts w:hint="eastAsia" w:ascii="宋体" w:hAnsi="宋体" w:cs="Arial"/>
          <w:kern w:val="0"/>
          <w:sz w:val="20"/>
          <w:szCs w:val="20"/>
        </w:rPr>
        <w:t>：</w:t>
      </w:r>
    </w:p>
    <w:p w14:paraId="6AEC399A">
      <w:pPr>
        <w:widowControl/>
        <w:spacing w:after="93" w:afterLines="30"/>
        <w:ind w:firstLine="420"/>
        <w:rPr>
          <w:rFonts w:ascii="宋体" w:hAnsi="宋体" w:cs="Arial"/>
          <w:kern w:val="0"/>
          <w:sz w:val="20"/>
          <w:szCs w:val="20"/>
        </w:rPr>
      </w:pPr>
      <w:r>
        <w:rPr>
          <w:rFonts w:hint="eastAsia" w:ascii="宋体" w:hAnsi="宋体"/>
          <w:sz w:val="20"/>
          <w:szCs w:val="20"/>
        </w:rPr>
        <w:t>1</w:t>
      </w:r>
      <w:r>
        <w:rPr>
          <w:rFonts w:ascii="宋体" w:hAnsi="宋体"/>
          <w:sz w:val="20"/>
          <w:szCs w:val="20"/>
        </w:rPr>
        <w:t>0,0</w:t>
      </w:r>
      <w:r>
        <w:rPr>
          <w:rFonts w:hint="eastAsia" w:ascii="宋体" w:hAnsi="宋体"/>
          <w:sz w:val="20"/>
          <w:szCs w:val="20"/>
        </w:rPr>
        <w:t>00,000.00</w:t>
      </w:r>
      <w:r>
        <w:rPr>
          <w:rFonts w:ascii="宋体" w:hAnsi="宋体" w:cs="Arial"/>
          <w:kern w:val="0"/>
          <w:sz w:val="20"/>
          <w:szCs w:val="20"/>
        </w:rPr>
        <w:t>×</w:t>
      </w:r>
      <w:r>
        <w:rPr>
          <w:rFonts w:hint="eastAsia" w:ascii="宋体" w:hAnsi="宋体" w:cs="Arial"/>
          <w:kern w:val="0"/>
          <w:sz w:val="20"/>
          <w:szCs w:val="20"/>
        </w:rPr>
        <w:t>1.03</w:t>
      </w:r>
      <w:r>
        <w:rPr>
          <w:rFonts w:ascii="宋体" w:hAnsi="宋体" w:cs="Arial"/>
          <w:kern w:val="0"/>
          <w:sz w:val="20"/>
          <w:szCs w:val="20"/>
        </w:rPr>
        <w:t>3</w:t>
      </w:r>
      <w:r>
        <w:rPr>
          <w:rFonts w:hint="eastAsia" w:ascii="宋体" w:hAnsi="宋体" w:cs="Arial"/>
          <w:kern w:val="0"/>
          <w:sz w:val="20"/>
          <w:szCs w:val="20"/>
        </w:rPr>
        <w:t>000</w:t>
      </w:r>
      <w:r>
        <w:rPr>
          <w:rFonts w:ascii="宋体" w:hAnsi="宋体" w:cs="Arial"/>
          <w:kern w:val="0"/>
          <w:sz w:val="20"/>
          <w:szCs w:val="20"/>
        </w:rPr>
        <w:t>=10,330,000.00</w:t>
      </w:r>
      <w:r>
        <w:rPr>
          <w:rFonts w:hint="eastAsia" w:ascii="宋体" w:hAnsi="宋体" w:cs="Arial"/>
          <w:kern w:val="0"/>
          <w:sz w:val="20"/>
          <w:szCs w:val="20"/>
        </w:rPr>
        <w:t>（</w:t>
      </w:r>
      <w:r>
        <w:rPr>
          <w:rFonts w:hint="eastAsia" w:ascii="宋体" w:hAnsi="宋体"/>
          <w:sz w:val="20"/>
          <w:szCs w:val="20"/>
        </w:rPr>
        <w:t>元）</w:t>
      </w:r>
      <w:r>
        <w:rPr>
          <w:rFonts w:hint="eastAsia" w:ascii="宋体" w:hAnsi="宋体" w:cs="Arial"/>
          <w:kern w:val="0"/>
          <w:sz w:val="20"/>
          <w:szCs w:val="20"/>
        </w:rPr>
        <w:t>。</w:t>
      </w:r>
    </w:p>
    <w:p w14:paraId="6EA6CEB8">
      <w:pPr>
        <w:spacing w:after="93" w:afterLines="30"/>
        <w:ind w:firstLine="402" w:firstLineChars="200"/>
        <w:rPr>
          <w:rFonts w:ascii="宋体" w:hAnsi="宋体" w:cs="Arial"/>
          <w:b/>
          <w:kern w:val="0"/>
          <w:sz w:val="20"/>
          <w:szCs w:val="20"/>
        </w:rPr>
      </w:pPr>
    </w:p>
    <w:p w14:paraId="792F5A0B">
      <w:pPr>
        <w:pStyle w:val="5"/>
        <w:tabs>
          <w:tab w:val="left" w:pos="720"/>
        </w:tabs>
        <w:spacing w:after="93" w:afterLines="30"/>
        <w:ind w:left="0" w:leftChars="0" w:firstLine="402" w:firstLineChars="200"/>
        <w:outlineLvl w:val="1"/>
        <w:rPr>
          <w:rFonts w:ascii="宋体" w:hAnsi="宋体" w:cs="黑体"/>
          <w:b/>
          <w:szCs w:val="20"/>
        </w:rPr>
      </w:pPr>
      <w:r>
        <w:rPr>
          <w:rFonts w:hint="eastAsia" w:ascii="宋体" w:hAnsi="宋体" w:cs="黑体"/>
          <w:b/>
          <w:szCs w:val="20"/>
        </w:rPr>
        <w:t>七、信息披露</w:t>
      </w:r>
    </w:p>
    <w:p w14:paraId="75E86503">
      <w:pPr>
        <w:spacing w:after="93" w:afterLines="30"/>
        <w:ind w:firstLine="360"/>
        <w:rPr>
          <w:rFonts w:ascii="宋体" w:hAnsi="宋体"/>
          <w:bCs/>
          <w:sz w:val="20"/>
          <w:szCs w:val="20"/>
        </w:rPr>
      </w:pPr>
      <w:r>
        <w:rPr>
          <w:rFonts w:hint="eastAsia" w:ascii="宋体" w:hAnsi="宋体"/>
          <w:bCs/>
          <w:sz w:val="20"/>
          <w:szCs w:val="20"/>
        </w:rPr>
        <w:t>（一）产品管理人通过建设银行的营业网点、指定网站（www.ccb.com）、网上银行、手机银行或行业统一信息披露渠道如中国理财网（w</w:t>
      </w:r>
      <w:r>
        <w:rPr>
          <w:rFonts w:ascii="宋体" w:hAnsi="宋体"/>
          <w:bCs/>
          <w:sz w:val="20"/>
          <w:szCs w:val="20"/>
        </w:rPr>
        <w:t>ww.</w:t>
      </w:r>
      <w:r>
        <w:rPr>
          <w:rFonts w:hint="eastAsia" w:ascii="宋体" w:hAnsi="宋体"/>
          <w:bCs/>
          <w:sz w:val="20"/>
          <w:szCs w:val="20"/>
        </w:rPr>
        <w:t>chinawealth.com.cn）等对本产品进行信息披露（将使用其中一种或多种渠道进行信息披露），信息披露的内容包括本产品以下相关内容及本产品说明书约定的其他信息披露内容：</w:t>
      </w:r>
    </w:p>
    <w:p w14:paraId="6D8F7A72">
      <w:pPr>
        <w:spacing w:after="93" w:afterLines="30"/>
        <w:ind w:firstLine="360"/>
        <w:rPr>
          <w:rFonts w:ascii="宋体" w:hAnsi="宋体"/>
          <w:b/>
          <w:bCs/>
          <w:sz w:val="20"/>
          <w:szCs w:val="20"/>
        </w:rPr>
      </w:pPr>
      <w:r>
        <w:rPr>
          <w:rFonts w:hint="eastAsia" w:ascii="宋体" w:hAnsi="宋体"/>
          <w:b/>
          <w:bCs/>
          <w:sz w:val="20"/>
          <w:szCs w:val="20"/>
        </w:rPr>
        <w:t>1.产品净值信息披露</w:t>
      </w:r>
    </w:p>
    <w:p w14:paraId="03E6E38A">
      <w:pPr>
        <w:spacing w:after="93" w:afterLines="30"/>
        <w:ind w:firstLine="360"/>
        <w:rPr>
          <w:rFonts w:ascii="宋体" w:hAnsi="宋体"/>
          <w:bCs/>
          <w:sz w:val="20"/>
          <w:szCs w:val="20"/>
        </w:rPr>
      </w:pPr>
      <w:r>
        <w:rPr>
          <w:rFonts w:hint="eastAsia" w:ascii="宋体" w:hAnsi="宋体"/>
          <w:sz w:val="20"/>
          <w:szCs w:val="20"/>
        </w:rPr>
        <w:t>在每季季初的</w:t>
      </w:r>
      <w:r>
        <w:rPr>
          <w:rFonts w:ascii="宋体" w:hAnsi="宋体"/>
          <w:sz w:val="20"/>
          <w:szCs w:val="20"/>
        </w:rPr>
        <w:t>5</w:t>
      </w:r>
      <w:r>
        <w:rPr>
          <w:rFonts w:hint="eastAsia" w:ascii="宋体" w:hAnsi="宋体"/>
          <w:sz w:val="20"/>
          <w:szCs w:val="20"/>
        </w:rPr>
        <w:t>个工作日内公布上季度最后一个自然日产品的份额净值和资产净值</w:t>
      </w:r>
      <w:r>
        <w:rPr>
          <w:rFonts w:hint="eastAsia" w:ascii="宋体" w:hAnsi="宋体"/>
          <w:bCs/>
          <w:sz w:val="20"/>
          <w:szCs w:val="20"/>
        </w:rPr>
        <w:t>，如遇特殊情况，以产品管理人信息披露为准。</w:t>
      </w:r>
    </w:p>
    <w:p w14:paraId="661FA07D">
      <w:pPr>
        <w:spacing w:after="93" w:afterLines="30"/>
        <w:ind w:firstLine="360"/>
        <w:rPr>
          <w:rFonts w:ascii="宋体" w:hAnsi="宋体"/>
          <w:b/>
          <w:bCs/>
          <w:sz w:val="20"/>
          <w:szCs w:val="20"/>
        </w:rPr>
      </w:pPr>
      <w:r>
        <w:rPr>
          <w:rFonts w:hint="eastAsia" w:ascii="宋体" w:hAnsi="宋体"/>
          <w:b/>
          <w:bCs/>
          <w:sz w:val="20"/>
          <w:szCs w:val="20"/>
        </w:rPr>
        <w:t>2.产品成立信息披露</w:t>
      </w:r>
    </w:p>
    <w:p w14:paraId="55A07E04">
      <w:pPr>
        <w:spacing w:after="93" w:afterLines="30"/>
        <w:ind w:firstLine="360"/>
        <w:rPr>
          <w:rFonts w:ascii="宋体" w:hAnsi="宋体"/>
          <w:bCs/>
          <w:sz w:val="20"/>
          <w:szCs w:val="20"/>
        </w:rPr>
      </w:pPr>
      <w:r>
        <w:rPr>
          <w:rFonts w:hint="eastAsia" w:ascii="宋体" w:hAnsi="宋体"/>
          <w:bCs/>
          <w:sz w:val="20"/>
          <w:szCs w:val="20"/>
        </w:rPr>
        <w:t>（1）在产品成立后的5个工作日内发布产品发行报告。</w:t>
      </w:r>
    </w:p>
    <w:p w14:paraId="32E0B4B2">
      <w:pPr>
        <w:spacing w:after="93" w:afterLines="30"/>
        <w:ind w:firstLine="360"/>
        <w:rPr>
          <w:rFonts w:ascii="宋体" w:hAnsi="宋体"/>
          <w:sz w:val="20"/>
          <w:szCs w:val="20"/>
        </w:rPr>
      </w:pPr>
      <w:r>
        <w:rPr>
          <w:rFonts w:hint="eastAsia" w:ascii="宋体" w:hAnsi="宋体"/>
          <w:bCs/>
          <w:sz w:val="20"/>
          <w:szCs w:val="20"/>
        </w:rPr>
        <w:t>（2）</w:t>
      </w:r>
      <w:r>
        <w:rPr>
          <w:rFonts w:hint="eastAsia" w:ascii="宋体" w:hAnsi="宋体"/>
          <w:b/>
          <w:sz w:val="20"/>
          <w:szCs w:val="20"/>
        </w:rPr>
        <w:t>产品提前成立的</w:t>
      </w:r>
      <w:r>
        <w:rPr>
          <w:rFonts w:hint="eastAsia" w:ascii="宋体" w:hAnsi="宋体"/>
          <w:sz w:val="20"/>
          <w:szCs w:val="20"/>
        </w:rPr>
        <w:t>，最晚于</w:t>
      </w:r>
      <w:r>
        <w:rPr>
          <w:rFonts w:hint="eastAsia" w:ascii="宋体" w:hAnsi="宋体"/>
          <w:sz w:val="20"/>
        </w:rPr>
        <w:t>实际成立日</w:t>
      </w:r>
      <w:r>
        <w:rPr>
          <w:rFonts w:hint="eastAsia" w:ascii="宋体" w:hAnsi="宋体"/>
          <w:sz w:val="20"/>
          <w:szCs w:val="20"/>
        </w:rPr>
        <w:t>进行信息披露。</w:t>
      </w:r>
    </w:p>
    <w:p w14:paraId="5BAFCC7E">
      <w:pPr>
        <w:spacing w:after="93" w:afterLines="30"/>
        <w:ind w:firstLine="360"/>
        <w:rPr>
          <w:rFonts w:ascii="宋体" w:hAnsi="宋体"/>
          <w:sz w:val="20"/>
          <w:szCs w:val="20"/>
        </w:rPr>
      </w:pPr>
      <w:r>
        <w:rPr>
          <w:rFonts w:hint="eastAsia" w:ascii="宋体" w:hAnsi="宋体"/>
          <w:sz w:val="20"/>
          <w:szCs w:val="20"/>
        </w:rPr>
        <w:t>（3）</w:t>
      </w:r>
      <w:r>
        <w:rPr>
          <w:rFonts w:hint="eastAsia" w:ascii="宋体" w:hAnsi="宋体"/>
          <w:b/>
          <w:sz w:val="20"/>
          <w:szCs w:val="20"/>
        </w:rPr>
        <w:t>产品延迟成立的</w:t>
      </w:r>
      <w:r>
        <w:rPr>
          <w:rFonts w:hint="eastAsia" w:ascii="宋体" w:hAnsi="宋体"/>
          <w:sz w:val="20"/>
          <w:szCs w:val="20"/>
        </w:rPr>
        <w:t>，最晚于</w:t>
      </w:r>
      <w:r>
        <w:rPr>
          <w:rFonts w:hint="eastAsia" w:ascii="宋体" w:hAnsi="宋体"/>
          <w:sz w:val="20"/>
        </w:rPr>
        <w:t>产品计划成立日</w:t>
      </w:r>
      <w:r>
        <w:rPr>
          <w:rFonts w:hint="eastAsia" w:ascii="宋体" w:hAnsi="宋体"/>
          <w:sz w:val="20"/>
          <w:szCs w:val="20"/>
        </w:rPr>
        <w:t>进行信息披露。</w:t>
      </w:r>
    </w:p>
    <w:p w14:paraId="258F7846">
      <w:pPr>
        <w:spacing w:after="93" w:afterLines="30"/>
        <w:ind w:firstLine="360"/>
        <w:rPr>
          <w:rFonts w:ascii="宋体" w:hAnsi="宋体"/>
          <w:bCs/>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w:t>
      </w:r>
      <w:r>
        <w:rPr>
          <w:rFonts w:hint="eastAsia" w:ascii="宋体" w:hAnsi="宋体" w:cs="宋体"/>
          <w:b/>
          <w:color w:val="000000"/>
          <w:kern w:val="0"/>
          <w:sz w:val="20"/>
          <w:szCs w:val="20"/>
        </w:rPr>
        <w:t>若有投资者购买了本产品且本产品不成立</w:t>
      </w:r>
      <w:r>
        <w:rPr>
          <w:rFonts w:hint="eastAsia" w:ascii="宋体" w:hAnsi="宋体" w:cs="宋体"/>
          <w:color w:val="000000"/>
          <w:kern w:val="0"/>
          <w:sz w:val="20"/>
          <w:szCs w:val="20"/>
        </w:rPr>
        <w:t>，产品管理人最晚于</w:t>
      </w:r>
      <w:r>
        <w:rPr>
          <w:rFonts w:hint="eastAsia" w:ascii="宋体" w:hAnsi="宋体"/>
          <w:color w:val="000000"/>
          <w:kern w:val="0"/>
          <w:sz w:val="20"/>
        </w:rPr>
        <w:t>产品计划成立日</w:t>
      </w:r>
      <w:r>
        <w:rPr>
          <w:rFonts w:hint="eastAsia" w:ascii="宋体" w:hAnsi="宋体" w:cs="宋体"/>
          <w:color w:val="000000"/>
          <w:kern w:val="0"/>
          <w:sz w:val="20"/>
          <w:szCs w:val="20"/>
        </w:rPr>
        <w:t>对产品不成立进行信息披露。</w:t>
      </w:r>
    </w:p>
    <w:p w14:paraId="268C6B3D">
      <w:pPr>
        <w:spacing w:after="93" w:afterLines="30"/>
        <w:ind w:firstLine="360"/>
        <w:rPr>
          <w:rFonts w:ascii="宋体" w:hAnsi="宋体"/>
          <w:b/>
          <w:bCs/>
          <w:sz w:val="20"/>
          <w:szCs w:val="20"/>
        </w:rPr>
      </w:pPr>
      <w:r>
        <w:rPr>
          <w:rFonts w:hint="eastAsia" w:ascii="宋体" w:hAnsi="宋体"/>
          <w:b/>
          <w:bCs/>
          <w:sz w:val="20"/>
          <w:szCs w:val="20"/>
        </w:rPr>
        <w:t>3.产品定期报告</w:t>
      </w:r>
    </w:p>
    <w:p w14:paraId="5F469680">
      <w:pPr>
        <w:spacing w:after="93" w:afterLines="30"/>
        <w:ind w:firstLine="360"/>
        <w:rPr>
          <w:rFonts w:ascii="宋体" w:hAnsi="宋体"/>
          <w:bCs/>
          <w:sz w:val="20"/>
          <w:szCs w:val="20"/>
        </w:rPr>
      </w:pPr>
      <w:r>
        <w:rPr>
          <w:rFonts w:hint="eastAsia" w:ascii="宋体" w:hAnsi="宋体"/>
          <w:bCs/>
          <w:sz w:val="20"/>
          <w:szCs w:val="20"/>
        </w:rPr>
        <w:t>每个季度结束之日起15个工作日内，上半年结束之日起60个工作日内，每年结束之日起90个工作日内发布产品的季度报告、半年报告及年度报告。逢半年末，当季季度报告合并入半年报告；逢年末，半年度报告合并入年度报告；理财产品成立不足90个工作日或者剩余存续期不超过90个工作日的，产品管理人可以不编制理财产品当期的季度、半年和年度报告。</w:t>
      </w:r>
    </w:p>
    <w:p w14:paraId="5D16A8F0">
      <w:pPr>
        <w:spacing w:after="93" w:afterLines="30"/>
        <w:ind w:firstLine="360"/>
        <w:rPr>
          <w:rFonts w:ascii="宋体" w:hAnsi="宋体"/>
          <w:b/>
          <w:bCs/>
          <w:sz w:val="20"/>
          <w:szCs w:val="20"/>
        </w:rPr>
      </w:pPr>
      <w:r>
        <w:rPr>
          <w:rFonts w:hint="eastAsia" w:ascii="宋体" w:hAnsi="宋体"/>
          <w:b/>
          <w:bCs/>
          <w:sz w:val="20"/>
          <w:szCs w:val="20"/>
        </w:rPr>
        <w:t>4.产品临时性信息披露</w:t>
      </w:r>
    </w:p>
    <w:p w14:paraId="12FB0BE3">
      <w:pPr>
        <w:spacing w:after="93" w:afterLines="30"/>
        <w:ind w:firstLine="360"/>
        <w:rPr>
          <w:rFonts w:ascii="宋体" w:hAnsi="宋体"/>
          <w:bCs/>
          <w:sz w:val="20"/>
          <w:szCs w:val="20"/>
        </w:rPr>
      </w:pPr>
      <w:r>
        <w:rPr>
          <w:rFonts w:hint="eastAsia" w:ascii="宋体" w:hAnsi="宋体"/>
          <w:bCs/>
          <w:sz w:val="20"/>
          <w:szCs w:val="20"/>
        </w:rPr>
        <w:t>（1）发生产品管理人或托管人变更的情形，应至少提前2个工作日进行信息披露。</w:t>
      </w:r>
    </w:p>
    <w:p w14:paraId="60964E5D">
      <w:pPr>
        <w:spacing w:after="93" w:afterLines="30"/>
        <w:ind w:firstLine="360"/>
        <w:rPr>
          <w:rFonts w:ascii="宋体" w:hAnsi="宋体"/>
          <w:bCs/>
          <w:sz w:val="20"/>
          <w:szCs w:val="20"/>
        </w:rPr>
      </w:pPr>
      <w:r>
        <w:rPr>
          <w:rFonts w:hint="eastAsia" w:ascii="宋体" w:hAnsi="宋体"/>
          <w:bCs/>
          <w:sz w:val="20"/>
          <w:szCs w:val="20"/>
        </w:rPr>
        <w:t>（2）</w:t>
      </w:r>
      <w:r>
        <w:rPr>
          <w:rFonts w:hint="eastAsia" w:ascii="宋体" w:hAnsi="宋体"/>
          <w:sz w:val="20"/>
        </w:rPr>
        <w:t>如产品管理人调整产品规模上限或下限，应最晚于调整规模上限或下限之日进行信息披露。</w:t>
      </w:r>
    </w:p>
    <w:p w14:paraId="353FE031">
      <w:pPr>
        <w:spacing w:after="93" w:afterLines="30"/>
        <w:ind w:firstLine="360"/>
        <w:rPr>
          <w:rFonts w:ascii="宋体" w:hAnsi="宋体"/>
          <w:bCs/>
          <w:sz w:val="20"/>
          <w:szCs w:val="20"/>
        </w:rPr>
      </w:pPr>
      <w:r>
        <w:rPr>
          <w:rFonts w:hint="eastAsia" w:ascii="宋体" w:hAnsi="宋体"/>
          <w:bCs/>
          <w:sz w:val="20"/>
          <w:szCs w:val="20"/>
        </w:rPr>
        <w:t>（3）如遇工作日特殊情况，以产品管理人信息披露为准。</w:t>
      </w:r>
    </w:p>
    <w:p w14:paraId="7DBA4E78">
      <w:pPr>
        <w:spacing w:after="93" w:afterLines="30"/>
        <w:ind w:firstLine="360"/>
        <w:rPr>
          <w:rFonts w:ascii="宋体" w:hAnsi="宋体"/>
          <w:bCs/>
          <w:sz w:val="20"/>
          <w:szCs w:val="20"/>
        </w:rPr>
      </w:pPr>
      <w:r>
        <w:rPr>
          <w:rFonts w:hint="eastAsia" w:ascii="宋体" w:hAnsi="宋体"/>
          <w:bCs/>
          <w:sz w:val="20"/>
          <w:szCs w:val="20"/>
        </w:rPr>
        <w:t>（4）</w:t>
      </w:r>
      <w:r>
        <w:rPr>
          <w:rFonts w:hint="eastAsia" w:ascii="宋体" w:hAnsi="宋体"/>
          <w:sz w:val="20"/>
        </w:rPr>
        <w:t>产品管理人有权对投资范围和投资资产种类进行调整，并至少提前</w:t>
      </w:r>
      <w:r>
        <w:rPr>
          <w:rFonts w:ascii="宋体" w:hAnsi="宋体"/>
          <w:sz w:val="20"/>
        </w:rPr>
        <w:t>2个工作日进行信息披</w:t>
      </w:r>
      <w:r>
        <w:rPr>
          <w:rFonts w:hint="eastAsia" w:ascii="宋体" w:hAnsi="宋体"/>
          <w:sz w:val="20"/>
        </w:rPr>
        <w:t>露。</w:t>
      </w:r>
    </w:p>
    <w:p w14:paraId="319A14CB">
      <w:pPr>
        <w:spacing w:after="93" w:afterLines="30"/>
        <w:ind w:firstLine="360"/>
        <w:rPr>
          <w:rFonts w:ascii="宋体" w:hAnsi="宋体"/>
          <w:bCs/>
          <w:sz w:val="20"/>
          <w:szCs w:val="20"/>
        </w:rPr>
      </w:pPr>
      <w:r>
        <w:rPr>
          <w:rFonts w:hint="eastAsia" w:ascii="宋体" w:hAnsi="宋体"/>
          <w:bCs/>
          <w:sz w:val="20"/>
          <w:szCs w:val="20"/>
        </w:rPr>
        <w:t>（5）</w:t>
      </w:r>
      <w:r>
        <w:rPr>
          <w:rFonts w:hint="eastAsia" w:ascii="宋体" w:hAnsi="宋体"/>
          <w:sz w:val="20"/>
        </w:rPr>
        <w:t>产品管理人有权对投资比例进行调整</w:t>
      </w:r>
      <w:r>
        <w:rPr>
          <w:rFonts w:hint="eastAsia" w:ascii="宋体" w:hAnsi="宋体"/>
          <w:bCs/>
          <w:sz w:val="20"/>
          <w:szCs w:val="20"/>
        </w:rPr>
        <w:t>，并至少提前</w:t>
      </w:r>
      <w:r>
        <w:rPr>
          <w:rFonts w:ascii="宋体" w:hAnsi="宋体"/>
          <w:sz w:val="20"/>
        </w:rPr>
        <w:t>2个工作日进行信息披露。如投资者不接受的，可在信息披露生效前赎回本产品，此种情况下</w:t>
      </w:r>
      <w:r>
        <w:rPr>
          <w:rFonts w:hint="eastAsia" w:ascii="宋体" w:hAnsi="宋体"/>
          <w:sz w:val="20"/>
        </w:rPr>
        <w:t>产品管理人将可能开放特殊赎回期间，具体以产品管理人信息披露为准。</w:t>
      </w:r>
    </w:p>
    <w:p w14:paraId="0C565F9E">
      <w:pPr>
        <w:spacing w:after="93" w:afterLines="30"/>
        <w:ind w:firstLine="360"/>
        <w:rPr>
          <w:rFonts w:ascii="宋体" w:hAnsi="宋体"/>
          <w:bCs/>
          <w:sz w:val="20"/>
          <w:szCs w:val="20"/>
        </w:rPr>
      </w:pPr>
      <w:r>
        <w:rPr>
          <w:rFonts w:hint="eastAsia" w:ascii="宋体" w:hAnsi="宋体"/>
          <w:bCs/>
          <w:sz w:val="20"/>
          <w:szCs w:val="20"/>
        </w:rPr>
        <w:t>（6）</w:t>
      </w:r>
      <w:r>
        <w:rPr>
          <w:rFonts w:hint="eastAsia" w:ascii="宋体" w:hAnsi="宋体"/>
          <w:sz w:val="20"/>
        </w:rPr>
        <w:t>产品管理人有权</w:t>
      </w:r>
      <w:r>
        <w:rPr>
          <w:rFonts w:hint="eastAsia" w:ascii="宋体" w:hAnsi="宋体"/>
          <w:sz w:val="20"/>
          <w:szCs w:val="20"/>
        </w:rPr>
        <w:t>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w:t>
      </w:r>
    </w:p>
    <w:p w14:paraId="32C764CD">
      <w:pPr>
        <w:spacing w:after="93" w:afterLines="30"/>
        <w:ind w:firstLine="360"/>
        <w:rPr>
          <w:rFonts w:ascii="宋体" w:hAnsi="宋体"/>
          <w:bCs/>
          <w:sz w:val="20"/>
          <w:szCs w:val="20"/>
        </w:rPr>
      </w:pPr>
      <w:r>
        <w:rPr>
          <w:rFonts w:hint="eastAsia" w:ascii="宋体" w:hAnsi="宋体"/>
          <w:sz w:val="20"/>
          <w:szCs w:val="20"/>
        </w:rPr>
        <w:t>（7）产品管理人有权</w:t>
      </w:r>
      <w:r>
        <w:rPr>
          <w:rFonts w:hint="eastAsia" w:ascii="宋体" w:hAnsi="宋体"/>
          <w:sz w:val="20"/>
        </w:rPr>
        <w:t>对业绩比较基准进行调整，并最晚于调整日进行信息披露。</w:t>
      </w:r>
    </w:p>
    <w:p w14:paraId="48ACAF3F">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8</w:t>
      </w:r>
      <w:r>
        <w:rPr>
          <w:rFonts w:hint="eastAsia" w:ascii="宋体" w:hAnsi="宋体"/>
          <w:bCs/>
          <w:sz w:val="20"/>
          <w:szCs w:val="20"/>
        </w:rPr>
        <w:t>）如本产品出现说明书中约定的暂停估值情形时，产品管理人可暂停产品的估值，并于3个工作日内进行信息披露。</w:t>
      </w:r>
    </w:p>
    <w:p w14:paraId="7416D6C7">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9</w:t>
      </w:r>
      <w:r>
        <w:rPr>
          <w:rFonts w:hint="eastAsia" w:ascii="宋体" w:hAnsi="宋体"/>
          <w:bCs/>
          <w:sz w:val="20"/>
          <w:szCs w:val="20"/>
        </w:rPr>
        <w:t>）如本产品出现说明书中约定的拒绝/暂停接受投资者认购的情形时，产品管理人有权利拒绝/暂停接受投资者认购申请，并于3个工作日内进行信息披露。</w:t>
      </w:r>
    </w:p>
    <w:p w14:paraId="1A1DDFBE">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10</w:t>
      </w:r>
      <w:r>
        <w:rPr>
          <w:rFonts w:hint="eastAsia" w:ascii="宋体" w:hAnsi="宋体"/>
          <w:bCs/>
          <w:sz w:val="20"/>
          <w:szCs w:val="20"/>
        </w:rPr>
        <w:t>）</w:t>
      </w:r>
      <w:r>
        <w:rPr>
          <w:rFonts w:hint="eastAsia" w:ascii="宋体" w:hAnsi="宋体"/>
          <w:sz w:val="20"/>
        </w:rPr>
        <w:t>产品管理人有权调整产品分红规则，并最晚于调整日前</w:t>
      </w:r>
      <w:r>
        <w:rPr>
          <w:rFonts w:ascii="宋体" w:hAnsi="宋体"/>
          <w:sz w:val="20"/>
        </w:rPr>
        <w:t>2个工作日进行信息披露。</w:t>
      </w:r>
    </w:p>
    <w:p w14:paraId="51975FA6">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11</w:t>
      </w:r>
      <w:r>
        <w:rPr>
          <w:rFonts w:hint="eastAsia" w:ascii="宋体" w:hAnsi="宋体"/>
          <w:bCs/>
          <w:sz w:val="20"/>
          <w:szCs w:val="20"/>
        </w:rPr>
        <w:t>）产品管理人最晚于投资非标准化债权类资产后</w:t>
      </w:r>
      <w:r>
        <w:rPr>
          <w:rFonts w:ascii="宋体" w:hAnsi="宋体"/>
          <w:bCs/>
          <w:sz w:val="20"/>
          <w:szCs w:val="20"/>
        </w:rPr>
        <w:t>5</w:t>
      </w:r>
      <w:r>
        <w:rPr>
          <w:rFonts w:hint="eastAsia" w:ascii="宋体" w:hAnsi="宋体"/>
          <w:bCs/>
          <w:sz w:val="20"/>
          <w:szCs w:val="20"/>
        </w:rPr>
        <w:t>个工作日内，对非标准化债权类资产的融资客户、项目名称、剩余融资期限、到期收益分配、交易结构、风险状况进行信息披露。</w:t>
      </w:r>
    </w:p>
    <w:p w14:paraId="5E17F8EE">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12</w:t>
      </w:r>
      <w:r>
        <w:rPr>
          <w:rFonts w:hint="eastAsia" w:ascii="宋体" w:hAnsi="宋体"/>
          <w:bCs/>
          <w:sz w:val="20"/>
          <w:szCs w:val="20"/>
        </w:rPr>
        <w:t>）</w:t>
      </w:r>
      <w:r>
        <w:rPr>
          <w:rFonts w:hint="eastAsia" w:ascii="宋体" w:hAnsi="宋体" w:cs="宋体"/>
          <w:color w:val="000000"/>
          <w:kern w:val="0"/>
          <w:sz w:val="20"/>
          <w:szCs w:val="20"/>
        </w:rPr>
        <w:t>若产品管理人决定进行存续期兑付，</w:t>
      </w:r>
      <w:r>
        <w:rPr>
          <w:rFonts w:hint="eastAsia" w:ascii="宋体" w:hAnsi="宋体"/>
          <w:color w:val="000000"/>
          <w:sz w:val="20"/>
          <w:szCs w:val="20"/>
        </w:rPr>
        <w:t>将</w:t>
      </w:r>
      <w:r>
        <w:rPr>
          <w:rFonts w:hint="eastAsia" w:ascii="宋体" w:hAnsi="宋体"/>
          <w:bCs/>
          <w:sz w:val="20"/>
          <w:szCs w:val="20"/>
        </w:rPr>
        <w:t>最晚于存续期兑付日对产品兑付进行信息披露</w:t>
      </w:r>
      <w:r>
        <w:rPr>
          <w:rFonts w:hint="eastAsia" w:ascii="宋体" w:hAnsi="宋体" w:cs="宋体"/>
          <w:color w:val="000000"/>
          <w:kern w:val="0"/>
          <w:sz w:val="20"/>
          <w:szCs w:val="20"/>
        </w:rPr>
        <w:t>。</w:t>
      </w:r>
    </w:p>
    <w:p w14:paraId="35D909BC">
      <w:pPr>
        <w:spacing w:after="93" w:afterLines="30"/>
        <w:ind w:firstLine="360"/>
        <w:rPr>
          <w:rFonts w:ascii="宋体" w:hAnsi="宋体"/>
          <w:b/>
          <w:bCs/>
          <w:sz w:val="20"/>
          <w:szCs w:val="20"/>
        </w:rPr>
      </w:pPr>
      <w:r>
        <w:rPr>
          <w:rFonts w:hint="eastAsia" w:ascii="宋体" w:hAnsi="宋体"/>
          <w:b/>
          <w:bCs/>
          <w:sz w:val="20"/>
          <w:szCs w:val="20"/>
        </w:rPr>
        <w:t>5.产品重大事项报告</w:t>
      </w:r>
    </w:p>
    <w:p w14:paraId="74259F6B">
      <w:pPr>
        <w:spacing w:after="93" w:afterLines="30"/>
        <w:ind w:firstLine="360"/>
        <w:rPr>
          <w:rFonts w:ascii="宋体" w:hAnsi="宋体"/>
          <w:bCs/>
          <w:sz w:val="20"/>
          <w:szCs w:val="20"/>
        </w:rPr>
      </w:pPr>
      <w:r>
        <w:rPr>
          <w:rFonts w:hint="eastAsia" w:ascii="宋体" w:hAnsi="宋体"/>
          <w:bCs/>
          <w:sz w:val="20"/>
          <w:szCs w:val="20"/>
        </w:rPr>
        <w:t>如发生产品管理人判断可能影响产品运作的重大不利事项，或对投资者权益或投资收益有重大实质性影响的事件时，产品管理人将在2个工作日内发布重大事项报告。</w:t>
      </w:r>
    </w:p>
    <w:p w14:paraId="1179302E">
      <w:pPr>
        <w:spacing w:after="93" w:afterLines="30"/>
        <w:ind w:firstLine="360"/>
        <w:rPr>
          <w:rFonts w:ascii="宋体" w:hAnsi="宋体"/>
          <w:b/>
          <w:bCs/>
          <w:sz w:val="20"/>
          <w:szCs w:val="20"/>
        </w:rPr>
      </w:pPr>
      <w:r>
        <w:rPr>
          <w:rFonts w:hint="eastAsia" w:ascii="宋体" w:hAnsi="宋体"/>
          <w:b/>
          <w:bCs/>
          <w:sz w:val="20"/>
          <w:szCs w:val="20"/>
        </w:rPr>
        <w:t>6.产品终止信息披露</w:t>
      </w:r>
    </w:p>
    <w:p w14:paraId="31BE81A4">
      <w:pPr>
        <w:spacing w:after="93" w:afterLines="30"/>
        <w:ind w:firstLine="360"/>
        <w:rPr>
          <w:rFonts w:ascii="宋体" w:hAnsi="宋体"/>
          <w:bCs/>
          <w:sz w:val="20"/>
          <w:szCs w:val="20"/>
        </w:rPr>
      </w:pPr>
      <w:r>
        <w:rPr>
          <w:rFonts w:hint="eastAsia" w:ascii="宋体" w:hAnsi="宋体"/>
          <w:bCs/>
          <w:sz w:val="20"/>
          <w:szCs w:val="20"/>
        </w:rPr>
        <w:t>（1）在产品到期日后的5个工作日内发布产品到期报告。</w:t>
      </w:r>
    </w:p>
    <w:p w14:paraId="63136915">
      <w:pPr>
        <w:spacing w:after="93" w:afterLines="30"/>
        <w:ind w:firstLine="360"/>
        <w:rPr>
          <w:rFonts w:ascii="宋体" w:hAnsi="宋体"/>
          <w:sz w:val="20"/>
        </w:rPr>
      </w:pPr>
      <w:r>
        <w:rPr>
          <w:rFonts w:hint="eastAsia" w:ascii="宋体" w:hAnsi="宋体"/>
          <w:sz w:val="20"/>
        </w:rPr>
        <w:t>（</w:t>
      </w:r>
      <w:r>
        <w:rPr>
          <w:rFonts w:ascii="宋体" w:hAnsi="宋体"/>
          <w:sz w:val="20"/>
        </w:rPr>
        <w:t>2）</w:t>
      </w:r>
      <w:r>
        <w:rPr>
          <w:rFonts w:hint="eastAsia" w:ascii="宋体" w:hAnsi="宋体"/>
          <w:b/>
          <w:color w:val="000000"/>
          <w:sz w:val="20"/>
        </w:rPr>
        <w:t>产品管理人提前终止本产品时</w:t>
      </w:r>
      <w:r>
        <w:rPr>
          <w:rFonts w:hint="eastAsia" w:ascii="宋体" w:hAnsi="宋体"/>
          <w:color w:val="000000"/>
          <w:sz w:val="20"/>
        </w:rPr>
        <w:t>，将</w:t>
      </w:r>
      <w:r>
        <w:rPr>
          <w:rFonts w:hint="eastAsia" w:ascii="宋体" w:hAnsi="宋体"/>
          <w:sz w:val="20"/>
        </w:rPr>
        <w:t>最晚于产品提前终止日对产品提前终止进行信息披露。</w:t>
      </w:r>
    </w:p>
    <w:p w14:paraId="67BFAF8D">
      <w:pPr>
        <w:tabs>
          <w:tab w:val="left" w:pos="720"/>
        </w:tabs>
        <w:spacing w:after="93" w:afterLines="30"/>
        <w:ind w:firstLine="400" w:firstLineChars="200"/>
        <w:rPr>
          <w:rFonts w:ascii="宋体" w:hAnsi="宋体"/>
          <w:sz w:val="20"/>
        </w:rPr>
      </w:pPr>
      <w:r>
        <w:rPr>
          <w:rFonts w:hint="eastAsia" w:ascii="宋体" w:hAnsi="宋体"/>
          <w:sz w:val="20"/>
        </w:rPr>
        <w:t>（</w:t>
      </w:r>
      <w:r>
        <w:rPr>
          <w:rFonts w:ascii="宋体" w:hAnsi="宋体"/>
          <w:sz w:val="20"/>
        </w:rPr>
        <w:t>3）</w:t>
      </w:r>
      <w:r>
        <w:rPr>
          <w:rFonts w:hint="eastAsia" w:ascii="宋体" w:hAnsi="宋体"/>
          <w:b/>
          <w:color w:val="000000"/>
          <w:sz w:val="20"/>
        </w:rPr>
        <w:t>产品管理人延期终止本产品时</w:t>
      </w:r>
      <w:r>
        <w:rPr>
          <w:rFonts w:hint="eastAsia" w:ascii="宋体" w:hAnsi="宋体"/>
          <w:color w:val="000000"/>
          <w:sz w:val="20"/>
        </w:rPr>
        <w:t>，将</w:t>
      </w:r>
      <w:r>
        <w:rPr>
          <w:rFonts w:hint="eastAsia" w:ascii="宋体" w:hAnsi="宋体"/>
          <w:sz w:val="20"/>
        </w:rPr>
        <w:t>最晚于产品计划终止日对产品延期终止进行信息披露。</w:t>
      </w:r>
    </w:p>
    <w:p w14:paraId="64D9CE35">
      <w:pPr>
        <w:spacing w:after="93" w:afterLines="30"/>
        <w:ind w:firstLine="360"/>
        <w:rPr>
          <w:rFonts w:ascii="宋体" w:hAnsi="宋体"/>
          <w:sz w:val="20"/>
          <w:szCs w:val="20"/>
        </w:rPr>
      </w:pPr>
      <w:r>
        <w:rPr>
          <w:rFonts w:hint="eastAsia" w:ascii="宋体" w:hAnsi="宋体"/>
          <w:bCs/>
          <w:sz w:val="20"/>
          <w:szCs w:val="20"/>
        </w:rPr>
        <w:t>（4）</w:t>
      </w:r>
      <w:r>
        <w:rPr>
          <w:rFonts w:hint="eastAsia" w:ascii="宋体" w:hAnsi="宋体"/>
          <w:sz w:val="20"/>
          <w:szCs w:val="20"/>
        </w:rPr>
        <w:t>若理财产品所投资资产不能全部变现，产品管理人在到期日后2个工作日内对资产不能变现的情况进行信息披露。</w:t>
      </w:r>
    </w:p>
    <w:p w14:paraId="49D64F03">
      <w:pPr>
        <w:spacing w:after="93" w:afterLines="30"/>
        <w:ind w:firstLine="360"/>
        <w:rPr>
          <w:rFonts w:ascii="宋体" w:hAnsi="宋体"/>
          <w:bCs/>
          <w:sz w:val="20"/>
          <w:szCs w:val="20"/>
        </w:rPr>
      </w:pPr>
      <w:r>
        <w:rPr>
          <w:rFonts w:hint="eastAsia" w:ascii="宋体" w:hAnsi="宋体"/>
          <w:bCs/>
          <w:sz w:val="20"/>
          <w:szCs w:val="20"/>
        </w:rPr>
        <w:t>（5）本产品清算期超过5个工作日的，产品管理人应于产品到期日前向投资者进行信息披露。</w:t>
      </w:r>
    </w:p>
    <w:p w14:paraId="20BB2403">
      <w:pPr>
        <w:ind w:firstLine="357"/>
        <w:rPr>
          <w:rFonts w:ascii="宋体" w:hAnsi="宋体"/>
          <w:b/>
          <w:bCs/>
          <w:sz w:val="20"/>
          <w:szCs w:val="20"/>
        </w:rPr>
      </w:pPr>
      <w:r>
        <w:rPr>
          <w:rFonts w:hint="eastAsia" w:ascii="宋体" w:hAnsi="宋体"/>
          <w:b/>
          <w:bCs/>
          <w:sz w:val="20"/>
          <w:szCs w:val="20"/>
        </w:rPr>
        <w:t>（二）如出于维持产品正常运营的需要且在不实质损害投资者利益的前提下，或因国家法律法规、监管规定发生变化，产品管理人有权在法律法规、监管规定允许的范围内单方对风险揭示书和说明书进行修订。产品管理人决定对风险揭示书和说明书进行修订的，将按照理财产品销售文件有关约定或法律规定进行信息披露，修订后的风险揭示书和说明书对投资者、产品管理人均具有约束力。</w:t>
      </w:r>
    </w:p>
    <w:p w14:paraId="6B152B06">
      <w:pPr>
        <w:ind w:firstLine="357"/>
        <w:rPr>
          <w:rFonts w:ascii="宋体" w:hAnsi="宋体"/>
          <w:b/>
          <w:bCs/>
          <w:sz w:val="20"/>
          <w:szCs w:val="20"/>
        </w:rPr>
      </w:pPr>
      <w:r>
        <w:rPr>
          <w:rFonts w:hint="eastAsia" w:ascii="宋体" w:hAnsi="宋体"/>
          <w:b/>
          <w:bCs/>
          <w:sz w:val="20"/>
          <w:szCs w:val="20"/>
        </w:rPr>
        <w:t>如有对于投资者利益产生实质影响的事项（如投资比例进行调整、运作方式调整、增加费用项目、提高收费标准等），产品管理人至少提前2个工作日进行信息披露。如投资者不接受的，可在信息披露生效前赎回本产品，此种情况下产品管理人将可能开放特殊赎回期间，具体以产品管理人信息披露为准。逾期未赎回的视为投资者同意相关调整并继续持有本产品。</w:t>
      </w:r>
    </w:p>
    <w:p w14:paraId="107D48A6">
      <w:pPr>
        <w:ind w:firstLine="357"/>
        <w:rPr>
          <w:rFonts w:ascii="宋体" w:hAnsi="宋体"/>
          <w:b/>
          <w:bCs/>
          <w:sz w:val="20"/>
          <w:szCs w:val="20"/>
        </w:rPr>
      </w:pPr>
      <w:r>
        <w:rPr>
          <w:rFonts w:hint="eastAsia" w:ascii="宋体" w:hAnsi="宋体"/>
          <w:b/>
          <w:bCs/>
          <w:sz w:val="20"/>
          <w:szCs w:val="20"/>
        </w:rPr>
        <w:t>产品管理人有权对本产品风险揭示书和说明书条款进行补充、说明和修改，并至少提前2个工作日通过上述渠道进行信息披露。</w:t>
      </w:r>
    </w:p>
    <w:p w14:paraId="12BBBA22">
      <w:pPr>
        <w:spacing w:after="93" w:afterLines="30"/>
        <w:ind w:firstLine="360"/>
        <w:rPr>
          <w:rFonts w:ascii="宋体" w:hAnsi="宋体"/>
          <w:b/>
          <w:color w:val="000000"/>
          <w:sz w:val="20"/>
          <w:szCs w:val="20"/>
        </w:rPr>
      </w:pPr>
      <w:r>
        <w:rPr>
          <w:rFonts w:hint="eastAsia" w:ascii="宋体" w:hAnsi="宋体"/>
          <w:b/>
          <w:color w:val="000000"/>
          <w:sz w:val="20"/>
          <w:szCs w:val="20"/>
        </w:rPr>
        <w:t>（三）投资者同意，产品管理人通过上述渠道进行信息披露，如果投资者未及时查询，或由于通讯故障、非产品管理人或非中国建设银行原因的系统故障以及其他不可抗力等因素的影响使得投资者无法及时了解产品信息，因此而产生的（包括但不限于因未及时获知信息而错过资金使用和再投资的机会等）责任和风险，由投资者自行承担。</w:t>
      </w:r>
    </w:p>
    <w:p w14:paraId="6D2A8BAE">
      <w:pPr>
        <w:spacing w:after="93" w:afterLines="30"/>
        <w:ind w:firstLine="394" w:firstLineChars="196"/>
        <w:rPr>
          <w:rFonts w:ascii="宋体" w:hAnsi="宋体"/>
          <w:b/>
          <w:color w:val="000000"/>
          <w:sz w:val="20"/>
          <w:szCs w:val="20"/>
        </w:rPr>
      </w:pPr>
      <w:r>
        <w:rPr>
          <w:rFonts w:hint="eastAsia" w:ascii="宋体" w:hAnsi="宋体"/>
          <w:b/>
          <w:color w:val="000000"/>
          <w:sz w:val="20"/>
          <w:szCs w:val="20"/>
        </w:rPr>
        <w:t>（四）产品管理人为投资者提供本产品相关账单信息。</w:t>
      </w:r>
      <w:r>
        <w:rPr>
          <w:rFonts w:hint="eastAsia" w:ascii="宋体" w:hAnsi="宋体"/>
          <w:b/>
          <w:sz w:val="20"/>
          <w:szCs w:val="20"/>
        </w:rPr>
        <w:t>机构投资者可凭营业执照正本复印件、法定代表人或单位负责人有效身份证件原件（授权其代理人办理时，应由代理人提供组织机构代码证、营业执照正本复印件、授权委托书、代理人有效身份证件原件）和代销协议书在中国建设银行营业网点打印本产品相关账单信息</w:t>
      </w:r>
      <w:r>
        <w:rPr>
          <w:rFonts w:hint="eastAsia" w:ascii="宋体" w:hAnsi="宋体"/>
          <w:b/>
          <w:color w:val="000000"/>
          <w:sz w:val="20"/>
        </w:rPr>
        <w:t>。</w:t>
      </w:r>
    </w:p>
    <w:p w14:paraId="6A1BDB40">
      <w:pPr>
        <w:spacing w:after="93" w:afterLines="30"/>
        <w:ind w:firstLine="394" w:firstLineChars="196"/>
        <w:rPr>
          <w:rFonts w:ascii="宋体" w:hAnsi="宋体"/>
          <w:b/>
          <w:sz w:val="20"/>
          <w:szCs w:val="20"/>
        </w:rPr>
      </w:pPr>
    </w:p>
    <w:p w14:paraId="18D70DDA">
      <w:pPr>
        <w:pStyle w:val="5"/>
        <w:tabs>
          <w:tab w:val="left" w:pos="720"/>
        </w:tabs>
        <w:spacing w:after="93" w:afterLines="30"/>
        <w:ind w:left="0" w:leftChars="0" w:firstLine="402" w:firstLineChars="200"/>
        <w:outlineLvl w:val="1"/>
        <w:rPr>
          <w:rFonts w:ascii="宋体" w:hAnsi="宋体" w:cs="黑体"/>
          <w:b/>
          <w:szCs w:val="20"/>
        </w:rPr>
      </w:pPr>
      <w:r>
        <w:rPr>
          <w:rFonts w:hint="eastAsia" w:ascii="宋体" w:hAnsi="宋体" w:cs="黑体"/>
          <w:b/>
          <w:szCs w:val="20"/>
        </w:rPr>
        <w:t>八、特别提示</w:t>
      </w:r>
    </w:p>
    <w:p w14:paraId="74EB3567">
      <w:pPr>
        <w:spacing w:after="93" w:afterLines="30"/>
        <w:ind w:firstLine="392" w:firstLineChars="196"/>
        <w:rPr>
          <w:rFonts w:ascii="宋体" w:hAnsi="宋体" w:cs="宋体"/>
          <w:kern w:val="0"/>
          <w:sz w:val="20"/>
          <w:szCs w:val="20"/>
        </w:rPr>
      </w:pPr>
      <w:r>
        <w:rPr>
          <w:rFonts w:hint="eastAsia" w:ascii="宋体" w:hAnsi="宋体" w:cs="宋体"/>
          <w:kern w:val="0"/>
          <w:sz w:val="20"/>
          <w:szCs w:val="20"/>
        </w:rPr>
        <w:t>根据《商业银行理财业务监督管理办法》第九条，“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据此，本产品为固定收益类理财产品。</w:t>
      </w:r>
    </w:p>
    <w:p w14:paraId="5E463E47">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本产品业绩比较基准仅供投资者参考，不是预期收益率，并不作为产品管理人向投资者支付本产品收益的承诺；投资者所能获得的最终收益以产品管理人的实际支付为准。</w:t>
      </w:r>
    </w:p>
    <w:p w14:paraId="20F67A93">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投资者在投资前，请仔细阅读本产品说明书，并做出独立的投资决策。</w:t>
      </w:r>
    </w:p>
    <w:p w14:paraId="08D98566">
      <w:pPr>
        <w:spacing w:after="93" w:afterLines="30"/>
        <w:ind w:firstLine="394" w:firstLineChars="196"/>
        <w:rPr>
          <w:rFonts w:ascii="宋体" w:hAnsi="宋体" w:cs="宋体"/>
          <w:b/>
          <w:kern w:val="0"/>
          <w:sz w:val="20"/>
          <w:szCs w:val="20"/>
        </w:rPr>
      </w:pPr>
      <w:r>
        <w:rPr>
          <w:rFonts w:hint="eastAsia" w:ascii="宋体" w:hAnsi="宋体" w:cs="宋体"/>
          <w:b/>
          <w:kern w:val="0"/>
          <w:sz w:val="20"/>
          <w:szCs w:val="20"/>
        </w:rPr>
        <w:t>产品管理人将恪守勤勉尽责的原则，合理配置资产组合，为投资者提供专业化的理财服务。</w:t>
      </w:r>
    </w:p>
    <w:p w14:paraId="070CAB47">
      <w:pPr>
        <w:spacing w:after="93" w:afterLines="30"/>
        <w:ind w:firstLine="394" w:firstLineChars="196"/>
        <w:rPr>
          <w:rFonts w:ascii="宋体" w:hAnsi="宋体"/>
        </w:rPr>
      </w:pPr>
      <w:r>
        <w:rPr>
          <w:rFonts w:hint="eastAsia" w:ascii="宋体" w:hAnsi="宋体"/>
          <w:b/>
          <w:kern w:val="0"/>
          <w:sz w:val="20"/>
        </w:rPr>
        <w:t>投资者通过购买渠道提交认购申请，即视为投资者授权及同意建信理财有限责任公司作为本产品的管理人，代表理财产品的投资者将募集资金进行投资和执行相关操作，并且有权代表投资者行使基础资产交易项下与其他交易各方进行交易所享有的全部权利。管理人有权决定非标准化债权类资产投资的管理、合同条款变更、赎回、处置与披露等事宜，包括但不限于：有权处理非标准化债权类资产抵质押、担保</w:t>
      </w:r>
      <w:r>
        <w:rPr>
          <w:rFonts w:ascii="宋体" w:hAnsi="宋体"/>
          <w:b/>
          <w:kern w:val="0"/>
          <w:sz w:val="20"/>
        </w:rPr>
        <w:t>/增信</w:t>
      </w:r>
      <w:r>
        <w:rPr>
          <w:rFonts w:hint="eastAsia" w:ascii="宋体" w:hAnsi="宋体"/>
          <w:b/>
          <w:kern w:val="0"/>
          <w:sz w:val="20"/>
        </w:rPr>
        <w:t>等事宜、有权决定非标准化债权类资产及其底层资产投放的先决条件是否放弃或延后、有权决定非标准化债权类投资的相关罚息</w:t>
      </w:r>
      <w:r>
        <w:rPr>
          <w:rFonts w:hint="eastAsia"/>
          <w:b/>
        </w:rPr>
        <w:t>/违约金/损害赔偿金</w:t>
      </w:r>
      <w:r>
        <w:rPr>
          <w:rFonts w:hint="eastAsia" w:ascii="宋体" w:hAnsi="宋体"/>
          <w:b/>
          <w:kern w:val="0"/>
          <w:sz w:val="20"/>
        </w:rPr>
        <w:t>的降低或免除、利息的降低或免除、有权决定是否同意非标准化债权类资产的债务人提前还款或立即还款（含全部及部分）或展期及展期条件、有权决定投后监管的执行、有权决定违约救济措施的选择。</w:t>
      </w:r>
    </w:p>
    <w:p w14:paraId="408A28DE">
      <w:pPr>
        <w:tabs>
          <w:tab w:val="left" w:pos="720"/>
        </w:tabs>
        <w:spacing w:after="93" w:afterLines="30"/>
        <w:ind w:firstLine="400" w:firstLineChars="200"/>
        <w:rPr>
          <w:rFonts w:ascii="宋体" w:hAnsi="宋体"/>
          <w:kern w:val="0"/>
          <w:sz w:val="20"/>
          <w:szCs w:val="20"/>
        </w:rPr>
      </w:pPr>
      <w:r>
        <w:rPr>
          <w:rFonts w:hint="eastAsia" w:ascii="宋体" w:hAnsi="宋体"/>
          <w:kern w:val="0"/>
          <w:sz w:val="20"/>
          <w:szCs w:val="20"/>
        </w:rPr>
        <w:t>产品管理人</w:t>
      </w:r>
      <w:r>
        <w:rPr>
          <w:rFonts w:ascii="宋体" w:hAnsi="宋体"/>
          <w:kern w:val="0"/>
          <w:sz w:val="20"/>
          <w:szCs w:val="20"/>
        </w:rPr>
        <w:t>应</w:t>
      </w:r>
      <w:r>
        <w:rPr>
          <w:rFonts w:hint="eastAsia" w:ascii="宋体" w:hAnsi="宋体"/>
          <w:kern w:val="0"/>
          <w:sz w:val="20"/>
          <w:szCs w:val="20"/>
        </w:rPr>
        <w:t>就理财产品销售过程中获知的投资者信息承担保密义务，非经投资者事先许可，不得向第三方披露。</w:t>
      </w:r>
      <w:r>
        <w:rPr>
          <w:rFonts w:hint="eastAsia" w:ascii="宋体" w:hAnsi="宋体"/>
          <w:b/>
          <w:kern w:val="0"/>
          <w:sz w:val="20"/>
          <w:szCs w:val="20"/>
        </w:rPr>
        <w:t>若法律法规或监管规定另有要求，投资者在此同意并授权，产品管理人可根据监管要求，为理财产品登记等需要，向登记部门或监管机构提供投资者相关信息。若本产品投资的</w:t>
      </w:r>
      <w:r>
        <w:rPr>
          <w:rFonts w:hint="eastAsia" w:ascii="宋体" w:hAnsi="宋体"/>
          <w:b/>
          <w:sz w:val="20"/>
          <w:szCs w:val="20"/>
        </w:rPr>
        <w:t>资产管理计划的管理人、信托计划的受托人因</w:t>
      </w:r>
      <w:r>
        <w:rPr>
          <w:rFonts w:hint="eastAsia" w:ascii="宋体" w:hAnsi="宋体"/>
          <w:b/>
          <w:kern w:val="0"/>
          <w:sz w:val="20"/>
          <w:szCs w:val="20"/>
        </w:rPr>
        <w:t>法律法规或监管规定的</w:t>
      </w:r>
      <w:r>
        <w:rPr>
          <w:rFonts w:hint="eastAsia" w:ascii="宋体" w:hAnsi="宋体"/>
          <w:b/>
          <w:sz w:val="20"/>
          <w:szCs w:val="20"/>
        </w:rPr>
        <w:t>适当性管理需求，要求我司提供理财产品投资者相关信息的，</w:t>
      </w:r>
      <w:r>
        <w:rPr>
          <w:rFonts w:hint="eastAsia" w:ascii="宋体" w:hAnsi="宋体"/>
          <w:b/>
          <w:kern w:val="0"/>
          <w:sz w:val="20"/>
          <w:szCs w:val="20"/>
        </w:rPr>
        <w:t>投资者在此同意并授权，产品管理人可以提供相关信息。</w:t>
      </w:r>
    </w:p>
    <w:p w14:paraId="0B8D5249">
      <w:pPr>
        <w:tabs>
          <w:tab w:val="left" w:pos="720"/>
        </w:tabs>
        <w:spacing w:after="93" w:afterLines="30"/>
        <w:ind w:firstLine="400" w:firstLineChars="200"/>
        <w:rPr>
          <w:rFonts w:ascii="宋体" w:hAnsi="宋体"/>
          <w:b/>
          <w:kern w:val="0"/>
          <w:sz w:val="20"/>
        </w:rPr>
      </w:pPr>
      <w:r>
        <w:rPr>
          <w:rFonts w:hint="eastAsia" w:ascii="宋体" w:hAnsi="宋体"/>
          <w:kern w:val="0"/>
          <w:sz w:val="20"/>
          <w:szCs w:val="20"/>
        </w:rPr>
        <w:t>投资者应密切关注产品管理人与本产品有关的信息披露，以免造成不必要的损失。</w:t>
      </w:r>
    </w:p>
    <w:p w14:paraId="70770E9D">
      <w:pPr>
        <w:pStyle w:val="5"/>
        <w:tabs>
          <w:tab w:val="left" w:pos="720"/>
        </w:tabs>
        <w:spacing w:after="93" w:afterLines="30"/>
        <w:ind w:left="0" w:leftChars="0" w:firstLine="402" w:firstLineChars="200"/>
        <w:outlineLvl w:val="1"/>
        <w:rPr>
          <w:rFonts w:ascii="宋体" w:hAnsi="宋体"/>
          <w:b/>
          <w:szCs w:val="20"/>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HYa3gj">
    <w:altName w:val="Times New Roman"/>
    <w:panose1 w:val="00000000000000000000"/>
    <w:charset w:val="00"/>
    <w:family w:val="roman"/>
    <w:pitch w:val="default"/>
    <w:sig w:usb0="00000000" w:usb1="00000000" w:usb2="00000000" w:usb3="00000000" w:csb0="00000000" w:csb1="00000000"/>
  </w:font>
  <w:font w:name="CHHT">
    <w:altName w:val="微软雅黑"/>
    <w:panose1 w:val="00000000000000000000"/>
    <w:charset w:val="00"/>
    <w:family w:val="swiss"/>
    <w:pitch w:val="default"/>
    <w:sig w:usb0="00000000" w:usb1="00000000" w:usb2="00000010" w:usb3="00000000" w:csb0="00040001" w:csb1="00000000"/>
  </w:font>
  <w:font w:name="彩虹粗仿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9077">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14:paraId="5AB660C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0F0E">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66BA20A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551B">
    <w:pPr>
      <w:pStyle w:val="8"/>
    </w:pPr>
    <w:r>
      <w:drawing>
        <wp:inline distT="0" distB="0" distL="0" distR="0">
          <wp:extent cx="2286000" cy="4381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8C"/>
    <w:rsid w:val="000001D6"/>
    <w:rsid w:val="000002A4"/>
    <w:rsid w:val="000004B3"/>
    <w:rsid w:val="00000532"/>
    <w:rsid w:val="00000A40"/>
    <w:rsid w:val="00000C7E"/>
    <w:rsid w:val="00000DD1"/>
    <w:rsid w:val="00000F2C"/>
    <w:rsid w:val="000013C6"/>
    <w:rsid w:val="0000176B"/>
    <w:rsid w:val="00001A01"/>
    <w:rsid w:val="000025DE"/>
    <w:rsid w:val="00002680"/>
    <w:rsid w:val="00002682"/>
    <w:rsid w:val="000027E1"/>
    <w:rsid w:val="00003420"/>
    <w:rsid w:val="000038B4"/>
    <w:rsid w:val="00003FD1"/>
    <w:rsid w:val="00004089"/>
    <w:rsid w:val="00004179"/>
    <w:rsid w:val="00004B9A"/>
    <w:rsid w:val="00004E8E"/>
    <w:rsid w:val="00005091"/>
    <w:rsid w:val="000055FE"/>
    <w:rsid w:val="000057A4"/>
    <w:rsid w:val="0000613E"/>
    <w:rsid w:val="000062A0"/>
    <w:rsid w:val="000069EA"/>
    <w:rsid w:val="00007627"/>
    <w:rsid w:val="000077B5"/>
    <w:rsid w:val="00007A74"/>
    <w:rsid w:val="0001055E"/>
    <w:rsid w:val="00010591"/>
    <w:rsid w:val="00011265"/>
    <w:rsid w:val="00011BFC"/>
    <w:rsid w:val="00011CA6"/>
    <w:rsid w:val="000128B8"/>
    <w:rsid w:val="00012D61"/>
    <w:rsid w:val="000134F5"/>
    <w:rsid w:val="000139B5"/>
    <w:rsid w:val="00014066"/>
    <w:rsid w:val="00014611"/>
    <w:rsid w:val="00014B97"/>
    <w:rsid w:val="00014CF0"/>
    <w:rsid w:val="0001502C"/>
    <w:rsid w:val="000156EA"/>
    <w:rsid w:val="000159FC"/>
    <w:rsid w:val="000164DC"/>
    <w:rsid w:val="00016658"/>
    <w:rsid w:val="00016687"/>
    <w:rsid w:val="00016948"/>
    <w:rsid w:val="00016E33"/>
    <w:rsid w:val="0001713C"/>
    <w:rsid w:val="00017850"/>
    <w:rsid w:val="00017A89"/>
    <w:rsid w:val="00017C85"/>
    <w:rsid w:val="00020258"/>
    <w:rsid w:val="000209E1"/>
    <w:rsid w:val="00020B81"/>
    <w:rsid w:val="00020E36"/>
    <w:rsid w:val="00020FF9"/>
    <w:rsid w:val="00021CBB"/>
    <w:rsid w:val="00021E35"/>
    <w:rsid w:val="00021F3C"/>
    <w:rsid w:val="000223F4"/>
    <w:rsid w:val="0002259C"/>
    <w:rsid w:val="00022D30"/>
    <w:rsid w:val="00023550"/>
    <w:rsid w:val="00023657"/>
    <w:rsid w:val="00024B90"/>
    <w:rsid w:val="0002524E"/>
    <w:rsid w:val="00025B8F"/>
    <w:rsid w:val="0002608A"/>
    <w:rsid w:val="0002656D"/>
    <w:rsid w:val="000266E0"/>
    <w:rsid w:val="0002683E"/>
    <w:rsid w:val="00026E1F"/>
    <w:rsid w:val="00027043"/>
    <w:rsid w:val="00027285"/>
    <w:rsid w:val="00027448"/>
    <w:rsid w:val="0002776F"/>
    <w:rsid w:val="00027CA2"/>
    <w:rsid w:val="00027E76"/>
    <w:rsid w:val="00030897"/>
    <w:rsid w:val="000309A4"/>
    <w:rsid w:val="00031249"/>
    <w:rsid w:val="00031FD0"/>
    <w:rsid w:val="00032231"/>
    <w:rsid w:val="00032369"/>
    <w:rsid w:val="00032467"/>
    <w:rsid w:val="00033178"/>
    <w:rsid w:val="00033483"/>
    <w:rsid w:val="000334AD"/>
    <w:rsid w:val="00033E22"/>
    <w:rsid w:val="0003443B"/>
    <w:rsid w:val="0003459E"/>
    <w:rsid w:val="000352D0"/>
    <w:rsid w:val="00035672"/>
    <w:rsid w:val="00035B1F"/>
    <w:rsid w:val="0003711F"/>
    <w:rsid w:val="00037837"/>
    <w:rsid w:val="0003783D"/>
    <w:rsid w:val="0004049C"/>
    <w:rsid w:val="00040533"/>
    <w:rsid w:val="00040933"/>
    <w:rsid w:val="000410D5"/>
    <w:rsid w:val="0004156B"/>
    <w:rsid w:val="000419F2"/>
    <w:rsid w:val="00041DBD"/>
    <w:rsid w:val="000420D3"/>
    <w:rsid w:val="00042459"/>
    <w:rsid w:val="000432E7"/>
    <w:rsid w:val="0004353E"/>
    <w:rsid w:val="000436DF"/>
    <w:rsid w:val="000439E5"/>
    <w:rsid w:val="00043C09"/>
    <w:rsid w:val="00043CDF"/>
    <w:rsid w:val="00043EC1"/>
    <w:rsid w:val="00043F10"/>
    <w:rsid w:val="0004432B"/>
    <w:rsid w:val="000446AF"/>
    <w:rsid w:val="000448CD"/>
    <w:rsid w:val="000449FE"/>
    <w:rsid w:val="00045165"/>
    <w:rsid w:val="00045291"/>
    <w:rsid w:val="000457BF"/>
    <w:rsid w:val="000457F5"/>
    <w:rsid w:val="000459A8"/>
    <w:rsid w:val="000459E8"/>
    <w:rsid w:val="00045AD0"/>
    <w:rsid w:val="00045C48"/>
    <w:rsid w:val="00045F4B"/>
    <w:rsid w:val="00046539"/>
    <w:rsid w:val="000470BC"/>
    <w:rsid w:val="00047A21"/>
    <w:rsid w:val="00047B61"/>
    <w:rsid w:val="00050BF7"/>
    <w:rsid w:val="00050E62"/>
    <w:rsid w:val="00050F2A"/>
    <w:rsid w:val="000516C2"/>
    <w:rsid w:val="000526EB"/>
    <w:rsid w:val="00052907"/>
    <w:rsid w:val="00052F6B"/>
    <w:rsid w:val="00053311"/>
    <w:rsid w:val="000533E3"/>
    <w:rsid w:val="00053523"/>
    <w:rsid w:val="000536EB"/>
    <w:rsid w:val="00054226"/>
    <w:rsid w:val="00054A01"/>
    <w:rsid w:val="00055315"/>
    <w:rsid w:val="00055599"/>
    <w:rsid w:val="000555A2"/>
    <w:rsid w:val="00056276"/>
    <w:rsid w:val="00056A1D"/>
    <w:rsid w:val="00056AA6"/>
    <w:rsid w:val="00056BD3"/>
    <w:rsid w:val="00056D0E"/>
    <w:rsid w:val="000574F4"/>
    <w:rsid w:val="00057614"/>
    <w:rsid w:val="00057CD0"/>
    <w:rsid w:val="00057EBC"/>
    <w:rsid w:val="00057F7F"/>
    <w:rsid w:val="00060C9C"/>
    <w:rsid w:val="000610A7"/>
    <w:rsid w:val="00061A6D"/>
    <w:rsid w:val="000622F8"/>
    <w:rsid w:val="000625E3"/>
    <w:rsid w:val="0006295D"/>
    <w:rsid w:val="000629C0"/>
    <w:rsid w:val="00063893"/>
    <w:rsid w:val="000638AE"/>
    <w:rsid w:val="0006410A"/>
    <w:rsid w:val="00064210"/>
    <w:rsid w:val="00064A3A"/>
    <w:rsid w:val="00064F14"/>
    <w:rsid w:val="00065082"/>
    <w:rsid w:val="000651AB"/>
    <w:rsid w:val="000653C8"/>
    <w:rsid w:val="00065D39"/>
    <w:rsid w:val="0006609E"/>
    <w:rsid w:val="00066130"/>
    <w:rsid w:val="00066163"/>
    <w:rsid w:val="0006639D"/>
    <w:rsid w:val="000665E0"/>
    <w:rsid w:val="00066FBB"/>
    <w:rsid w:val="00067F90"/>
    <w:rsid w:val="000701A8"/>
    <w:rsid w:val="0007028C"/>
    <w:rsid w:val="000702CA"/>
    <w:rsid w:val="00070AD6"/>
    <w:rsid w:val="00070C8F"/>
    <w:rsid w:val="00071498"/>
    <w:rsid w:val="00071FB8"/>
    <w:rsid w:val="00072163"/>
    <w:rsid w:val="00072655"/>
    <w:rsid w:val="00073618"/>
    <w:rsid w:val="00073694"/>
    <w:rsid w:val="00073781"/>
    <w:rsid w:val="00073CD6"/>
    <w:rsid w:val="00073CF6"/>
    <w:rsid w:val="000747F1"/>
    <w:rsid w:val="000749FC"/>
    <w:rsid w:val="00074B7C"/>
    <w:rsid w:val="00075189"/>
    <w:rsid w:val="00075385"/>
    <w:rsid w:val="0007557F"/>
    <w:rsid w:val="000755B3"/>
    <w:rsid w:val="00075B2B"/>
    <w:rsid w:val="00075C58"/>
    <w:rsid w:val="00076129"/>
    <w:rsid w:val="00076212"/>
    <w:rsid w:val="00076250"/>
    <w:rsid w:val="0007626D"/>
    <w:rsid w:val="000762D2"/>
    <w:rsid w:val="0007648D"/>
    <w:rsid w:val="000765A5"/>
    <w:rsid w:val="00076683"/>
    <w:rsid w:val="0007682F"/>
    <w:rsid w:val="00076900"/>
    <w:rsid w:val="00080B6A"/>
    <w:rsid w:val="00080C05"/>
    <w:rsid w:val="00080D1F"/>
    <w:rsid w:val="00081351"/>
    <w:rsid w:val="00081829"/>
    <w:rsid w:val="00081A56"/>
    <w:rsid w:val="00081BAE"/>
    <w:rsid w:val="0008217A"/>
    <w:rsid w:val="0008266A"/>
    <w:rsid w:val="00082676"/>
    <w:rsid w:val="00082732"/>
    <w:rsid w:val="000827B1"/>
    <w:rsid w:val="00082ABF"/>
    <w:rsid w:val="00082BEF"/>
    <w:rsid w:val="00083628"/>
    <w:rsid w:val="00083D56"/>
    <w:rsid w:val="00085947"/>
    <w:rsid w:val="00085BF7"/>
    <w:rsid w:val="000866C8"/>
    <w:rsid w:val="00086B86"/>
    <w:rsid w:val="00087B49"/>
    <w:rsid w:val="00087CBA"/>
    <w:rsid w:val="00087D1B"/>
    <w:rsid w:val="000902C6"/>
    <w:rsid w:val="00090CE2"/>
    <w:rsid w:val="00090D72"/>
    <w:rsid w:val="00091002"/>
    <w:rsid w:val="00091933"/>
    <w:rsid w:val="00091ABC"/>
    <w:rsid w:val="00092011"/>
    <w:rsid w:val="00093797"/>
    <w:rsid w:val="000938B0"/>
    <w:rsid w:val="00093BBA"/>
    <w:rsid w:val="00093C6C"/>
    <w:rsid w:val="00094019"/>
    <w:rsid w:val="00094246"/>
    <w:rsid w:val="00094967"/>
    <w:rsid w:val="00094E2F"/>
    <w:rsid w:val="00094FF1"/>
    <w:rsid w:val="000955A3"/>
    <w:rsid w:val="00095818"/>
    <w:rsid w:val="00096CDE"/>
    <w:rsid w:val="0009702B"/>
    <w:rsid w:val="000972BC"/>
    <w:rsid w:val="000973B4"/>
    <w:rsid w:val="000974D7"/>
    <w:rsid w:val="0009789F"/>
    <w:rsid w:val="00097C22"/>
    <w:rsid w:val="000A01F2"/>
    <w:rsid w:val="000A0302"/>
    <w:rsid w:val="000A0E99"/>
    <w:rsid w:val="000A0ED1"/>
    <w:rsid w:val="000A16BE"/>
    <w:rsid w:val="000A1B78"/>
    <w:rsid w:val="000A1FCC"/>
    <w:rsid w:val="000A24C6"/>
    <w:rsid w:val="000A2558"/>
    <w:rsid w:val="000A2D2A"/>
    <w:rsid w:val="000A3021"/>
    <w:rsid w:val="000A305D"/>
    <w:rsid w:val="000A35DB"/>
    <w:rsid w:val="000A3E56"/>
    <w:rsid w:val="000A4010"/>
    <w:rsid w:val="000A44FB"/>
    <w:rsid w:val="000A48F6"/>
    <w:rsid w:val="000A497D"/>
    <w:rsid w:val="000A49AB"/>
    <w:rsid w:val="000A535E"/>
    <w:rsid w:val="000A53C7"/>
    <w:rsid w:val="000A5C84"/>
    <w:rsid w:val="000A5FCA"/>
    <w:rsid w:val="000A6A32"/>
    <w:rsid w:val="000A6FDB"/>
    <w:rsid w:val="000A7724"/>
    <w:rsid w:val="000A785B"/>
    <w:rsid w:val="000A791D"/>
    <w:rsid w:val="000B039D"/>
    <w:rsid w:val="000B03A3"/>
    <w:rsid w:val="000B0527"/>
    <w:rsid w:val="000B09B4"/>
    <w:rsid w:val="000B12E5"/>
    <w:rsid w:val="000B164C"/>
    <w:rsid w:val="000B1AEC"/>
    <w:rsid w:val="000B1B7E"/>
    <w:rsid w:val="000B20BB"/>
    <w:rsid w:val="000B227E"/>
    <w:rsid w:val="000B2CC0"/>
    <w:rsid w:val="000B3156"/>
    <w:rsid w:val="000B351B"/>
    <w:rsid w:val="000B3C85"/>
    <w:rsid w:val="000B412A"/>
    <w:rsid w:val="000B42B5"/>
    <w:rsid w:val="000B44DC"/>
    <w:rsid w:val="000B509D"/>
    <w:rsid w:val="000B6193"/>
    <w:rsid w:val="000B62C1"/>
    <w:rsid w:val="000B64A9"/>
    <w:rsid w:val="000B6663"/>
    <w:rsid w:val="000B6A50"/>
    <w:rsid w:val="000B6A53"/>
    <w:rsid w:val="000B6CE2"/>
    <w:rsid w:val="000B6F41"/>
    <w:rsid w:val="000B701A"/>
    <w:rsid w:val="000B70E9"/>
    <w:rsid w:val="000B780D"/>
    <w:rsid w:val="000B7AF6"/>
    <w:rsid w:val="000B7D9E"/>
    <w:rsid w:val="000C0100"/>
    <w:rsid w:val="000C06D7"/>
    <w:rsid w:val="000C0B0A"/>
    <w:rsid w:val="000C0CCC"/>
    <w:rsid w:val="000C0F1C"/>
    <w:rsid w:val="000C0FC2"/>
    <w:rsid w:val="000C0FF6"/>
    <w:rsid w:val="000C111B"/>
    <w:rsid w:val="000C11BA"/>
    <w:rsid w:val="000C11FA"/>
    <w:rsid w:val="000C129F"/>
    <w:rsid w:val="000C159A"/>
    <w:rsid w:val="000C15C8"/>
    <w:rsid w:val="000C1802"/>
    <w:rsid w:val="000C19EA"/>
    <w:rsid w:val="000C1F3B"/>
    <w:rsid w:val="000C201F"/>
    <w:rsid w:val="000C2484"/>
    <w:rsid w:val="000C2E6C"/>
    <w:rsid w:val="000C2E9B"/>
    <w:rsid w:val="000C320D"/>
    <w:rsid w:val="000C3B1E"/>
    <w:rsid w:val="000C3BA7"/>
    <w:rsid w:val="000C471E"/>
    <w:rsid w:val="000C4C72"/>
    <w:rsid w:val="000C5406"/>
    <w:rsid w:val="000C592F"/>
    <w:rsid w:val="000C5E1C"/>
    <w:rsid w:val="000C5F6C"/>
    <w:rsid w:val="000C632F"/>
    <w:rsid w:val="000C6603"/>
    <w:rsid w:val="000C693D"/>
    <w:rsid w:val="000C6A3A"/>
    <w:rsid w:val="000C6A3D"/>
    <w:rsid w:val="000C7978"/>
    <w:rsid w:val="000C79E7"/>
    <w:rsid w:val="000D00BB"/>
    <w:rsid w:val="000D0236"/>
    <w:rsid w:val="000D0383"/>
    <w:rsid w:val="000D04D0"/>
    <w:rsid w:val="000D072D"/>
    <w:rsid w:val="000D0745"/>
    <w:rsid w:val="000D0EAA"/>
    <w:rsid w:val="000D11EF"/>
    <w:rsid w:val="000D16F2"/>
    <w:rsid w:val="000D26DB"/>
    <w:rsid w:val="000D2EB6"/>
    <w:rsid w:val="000D3539"/>
    <w:rsid w:val="000D3B65"/>
    <w:rsid w:val="000D48BA"/>
    <w:rsid w:val="000D4DAC"/>
    <w:rsid w:val="000D4DF1"/>
    <w:rsid w:val="000D544C"/>
    <w:rsid w:val="000D5576"/>
    <w:rsid w:val="000D5C58"/>
    <w:rsid w:val="000D6013"/>
    <w:rsid w:val="000D6554"/>
    <w:rsid w:val="000D65BC"/>
    <w:rsid w:val="000D6F58"/>
    <w:rsid w:val="000D6FDF"/>
    <w:rsid w:val="000E00A9"/>
    <w:rsid w:val="000E0246"/>
    <w:rsid w:val="000E0515"/>
    <w:rsid w:val="000E0A01"/>
    <w:rsid w:val="000E0BCB"/>
    <w:rsid w:val="000E104B"/>
    <w:rsid w:val="000E2063"/>
    <w:rsid w:val="000E2150"/>
    <w:rsid w:val="000E2AD7"/>
    <w:rsid w:val="000E2E70"/>
    <w:rsid w:val="000E3891"/>
    <w:rsid w:val="000E414F"/>
    <w:rsid w:val="000E49F0"/>
    <w:rsid w:val="000E4AB9"/>
    <w:rsid w:val="000E4C44"/>
    <w:rsid w:val="000E536F"/>
    <w:rsid w:val="000E53D9"/>
    <w:rsid w:val="000E5492"/>
    <w:rsid w:val="000E56C1"/>
    <w:rsid w:val="000E58A1"/>
    <w:rsid w:val="000E5A2F"/>
    <w:rsid w:val="000E5AA3"/>
    <w:rsid w:val="000E5DF0"/>
    <w:rsid w:val="000E6000"/>
    <w:rsid w:val="000E6169"/>
    <w:rsid w:val="000E63B4"/>
    <w:rsid w:val="000E667B"/>
    <w:rsid w:val="000E6C4C"/>
    <w:rsid w:val="000E6DA1"/>
    <w:rsid w:val="000E702E"/>
    <w:rsid w:val="000E708C"/>
    <w:rsid w:val="000E73D7"/>
    <w:rsid w:val="000E77D9"/>
    <w:rsid w:val="000E7BC7"/>
    <w:rsid w:val="000E7D72"/>
    <w:rsid w:val="000E7E1F"/>
    <w:rsid w:val="000F002B"/>
    <w:rsid w:val="000F00A9"/>
    <w:rsid w:val="000F045C"/>
    <w:rsid w:val="000F0463"/>
    <w:rsid w:val="000F04ED"/>
    <w:rsid w:val="000F101F"/>
    <w:rsid w:val="000F113D"/>
    <w:rsid w:val="000F1328"/>
    <w:rsid w:val="000F164A"/>
    <w:rsid w:val="000F1782"/>
    <w:rsid w:val="000F1AC9"/>
    <w:rsid w:val="000F1BC3"/>
    <w:rsid w:val="000F2411"/>
    <w:rsid w:val="000F2468"/>
    <w:rsid w:val="000F276A"/>
    <w:rsid w:val="000F29B5"/>
    <w:rsid w:val="000F2B0C"/>
    <w:rsid w:val="000F2F37"/>
    <w:rsid w:val="000F3290"/>
    <w:rsid w:val="000F336E"/>
    <w:rsid w:val="000F350E"/>
    <w:rsid w:val="000F3777"/>
    <w:rsid w:val="000F393F"/>
    <w:rsid w:val="000F3A0B"/>
    <w:rsid w:val="000F5029"/>
    <w:rsid w:val="000F51D9"/>
    <w:rsid w:val="000F585E"/>
    <w:rsid w:val="000F5B90"/>
    <w:rsid w:val="000F5EEE"/>
    <w:rsid w:val="000F6363"/>
    <w:rsid w:val="000F6608"/>
    <w:rsid w:val="000F6719"/>
    <w:rsid w:val="000F6C8B"/>
    <w:rsid w:val="000F6EEC"/>
    <w:rsid w:val="000F70AC"/>
    <w:rsid w:val="000F7180"/>
    <w:rsid w:val="000F72B6"/>
    <w:rsid w:val="000F76F5"/>
    <w:rsid w:val="000F77FB"/>
    <w:rsid w:val="000F781D"/>
    <w:rsid w:val="001005BD"/>
    <w:rsid w:val="00100B65"/>
    <w:rsid w:val="00101873"/>
    <w:rsid w:val="00101C68"/>
    <w:rsid w:val="001026ED"/>
    <w:rsid w:val="00102893"/>
    <w:rsid w:val="00102A58"/>
    <w:rsid w:val="00102B58"/>
    <w:rsid w:val="0010359C"/>
    <w:rsid w:val="001035BA"/>
    <w:rsid w:val="001039C3"/>
    <w:rsid w:val="00103C0E"/>
    <w:rsid w:val="00103FFF"/>
    <w:rsid w:val="001045F1"/>
    <w:rsid w:val="00104D5E"/>
    <w:rsid w:val="0010524C"/>
    <w:rsid w:val="00105447"/>
    <w:rsid w:val="001056E1"/>
    <w:rsid w:val="00105C9A"/>
    <w:rsid w:val="00105DDA"/>
    <w:rsid w:val="001062AD"/>
    <w:rsid w:val="001064BE"/>
    <w:rsid w:val="001067C0"/>
    <w:rsid w:val="00106993"/>
    <w:rsid w:val="00106A61"/>
    <w:rsid w:val="00106A9F"/>
    <w:rsid w:val="00106EF0"/>
    <w:rsid w:val="00106FE8"/>
    <w:rsid w:val="0011018C"/>
    <w:rsid w:val="001102D7"/>
    <w:rsid w:val="00110694"/>
    <w:rsid w:val="001106D4"/>
    <w:rsid w:val="001107C0"/>
    <w:rsid w:val="00110D6F"/>
    <w:rsid w:val="00110EA2"/>
    <w:rsid w:val="00111837"/>
    <w:rsid w:val="00111B07"/>
    <w:rsid w:val="00111DE7"/>
    <w:rsid w:val="00111EA3"/>
    <w:rsid w:val="00111FC9"/>
    <w:rsid w:val="0011204E"/>
    <w:rsid w:val="001120A9"/>
    <w:rsid w:val="001124B2"/>
    <w:rsid w:val="0011253F"/>
    <w:rsid w:val="00112934"/>
    <w:rsid w:val="00112B2D"/>
    <w:rsid w:val="00112CB5"/>
    <w:rsid w:val="00112EEB"/>
    <w:rsid w:val="00112F15"/>
    <w:rsid w:val="001130AC"/>
    <w:rsid w:val="00113934"/>
    <w:rsid w:val="001139DE"/>
    <w:rsid w:val="00113C5C"/>
    <w:rsid w:val="00114820"/>
    <w:rsid w:val="00114855"/>
    <w:rsid w:val="00114866"/>
    <w:rsid w:val="00114AB3"/>
    <w:rsid w:val="00114CF9"/>
    <w:rsid w:val="00114DC7"/>
    <w:rsid w:val="001152C8"/>
    <w:rsid w:val="001158B2"/>
    <w:rsid w:val="00115ECF"/>
    <w:rsid w:val="001162C8"/>
    <w:rsid w:val="001167BC"/>
    <w:rsid w:val="00116E62"/>
    <w:rsid w:val="00116F72"/>
    <w:rsid w:val="001173E5"/>
    <w:rsid w:val="001176C8"/>
    <w:rsid w:val="001177B7"/>
    <w:rsid w:val="001177F1"/>
    <w:rsid w:val="00117C9F"/>
    <w:rsid w:val="00117CB5"/>
    <w:rsid w:val="00117D1D"/>
    <w:rsid w:val="001209C8"/>
    <w:rsid w:val="00123D19"/>
    <w:rsid w:val="00123F1E"/>
    <w:rsid w:val="001242CE"/>
    <w:rsid w:val="00125441"/>
    <w:rsid w:val="00125567"/>
    <w:rsid w:val="00125586"/>
    <w:rsid w:val="0012572B"/>
    <w:rsid w:val="00125991"/>
    <w:rsid w:val="00125C4D"/>
    <w:rsid w:val="0012627C"/>
    <w:rsid w:val="001266EB"/>
    <w:rsid w:val="0012677D"/>
    <w:rsid w:val="00126AC3"/>
    <w:rsid w:val="00126E6B"/>
    <w:rsid w:val="0012767A"/>
    <w:rsid w:val="00127768"/>
    <w:rsid w:val="00127CEB"/>
    <w:rsid w:val="00127EB9"/>
    <w:rsid w:val="0013018C"/>
    <w:rsid w:val="001305AF"/>
    <w:rsid w:val="0013074A"/>
    <w:rsid w:val="0013139D"/>
    <w:rsid w:val="001322EA"/>
    <w:rsid w:val="0013276D"/>
    <w:rsid w:val="001327E3"/>
    <w:rsid w:val="001329CE"/>
    <w:rsid w:val="00132B29"/>
    <w:rsid w:val="00132BD9"/>
    <w:rsid w:val="00133723"/>
    <w:rsid w:val="00133E41"/>
    <w:rsid w:val="00134071"/>
    <w:rsid w:val="00134670"/>
    <w:rsid w:val="001348AB"/>
    <w:rsid w:val="00134D5F"/>
    <w:rsid w:val="00134E08"/>
    <w:rsid w:val="00135105"/>
    <w:rsid w:val="00135479"/>
    <w:rsid w:val="00135B18"/>
    <w:rsid w:val="00135BEE"/>
    <w:rsid w:val="00135C92"/>
    <w:rsid w:val="00136407"/>
    <w:rsid w:val="0013640C"/>
    <w:rsid w:val="00136A99"/>
    <w:rsid w:val="00136DAA"/>
    <w:rsid w:val="001373E5"/>
    <w:rsid w:val="001379B0"/>
    <w:rsid w:val="00137C28"/>
    <w:rsid w:val="00140ECB"/>
    <w:rsid w:val="00141089"/>
    <w:rsid w:val="001415B4"/>
    <w:rsid w:val="0014195A"/>
    <w:rsid w:val="00141B4B"/>
    <w:rsid w:val="001425C1"/>
    <w:rsid w:val="001426D1"/>
    <w:rsid w:val="00142F56"/>
    <w:rsid w:val="00142F7E"/>
    <w:rsid w:val="00143899"/>
    <w:rsid w:val="00144155"/>
    <w:rsid w:val="001447EF"/>
    <w:rsid w:val="00144848"/>
    <w:rsid w:val="0014492B"/>
    <w:rsid w:val="00145105"/>
    <w:rsid w:val="0014526E"/>
    <w:rsid w:val="00145339"/>
    <w:rsid w:val="00145D81"/>
    <w:rsid w:val="00146803"/>
    <w:rsid w:val="001474DD"/>
    <w:rsid w:val="001479D5"/>
    <w:rsid w:val="00147AAC"/>
    <w:rsid w:val="00150284"/>
    <w:rsid w:val="0015038B"/>
    <w:rsid w:val="00151ADC"/>
    <w:rsid w:val="00151FBA"/>
    <w:rsid w:val="00152894"/>
    <w:rsid w:val="0015333F"/>
    <w:rsid w:val="00153523"/>
    <w:rsid w:val="00153678"/>
    <w:rsid w:val="00154090"/>
    <w:rsid w:val="00154539"/>
    <w:rsid w:val="001546FF"/>
    <w:rsid w:val="001548DA"/>
    <w:rsid w:val="001549E9"/>
    <w:rsid w:val="00154ED3"/>
    <w:rsid w:val="001556C3"/>
    <w:rsid w:val="00155721"/>
    <w:rsid w:val="00155D24"/>
    <w:rsid w:val="00155F12"/>
    <w:rsid w:val="001562D8"/>
    <w:rsid w:val="001566F4"/>
    <w:rsid w:val="001602B0"/>
    <w:rsid w:val="001606F1"/>
    <w:rsid w:val="00160B0C"/>
    <w:rsid w:val="00160D5A"/>
    <w:rsid w:val="00161057"/>
    <w:rsid w:val="001617CB"/>
    <w:rsid w:val="00161E36"/>
    <w:rsid w:val="001621C8"/>
    <w:rsid w:val="001623FB"/>
    <w:rsid w:val="001627AB"/>
    <w:rsid w:val="00163395"/>
    <w:rsid w:val="00163490"/>
    <w:rsid w:val="001639B7"/>
    <w:rsid w:val="00163ADA"/>
    <w:rsid w:val="001642E2"/>
    <w:rsid w:val="00164359"/>
    <w:rsid w:val="001645A9"/>
    <w:rsid w:val="00164BC1"/>
    <w:rsid w:val="00164C0B"/>
    <w:rsid w:val="00165051"/>
    <w:rsid w:val="00165358"/>
    <w:rsid w:val="00165B93"/>
    <w:rsid w:val="00165F76"/>
    <w:rsid w:val="0016653A"/>
    <w:rsid w:val="001665AD"/>
    <w:rsid w:val="001669C2"/>
    <w:rsid w:val="00166A47"/>
    <w:rsid w:val="00167300"/>
    <w:rsid w:val="001676E9"/>
    <w:rsid w:val="001677C8"/>
    <w:rsid w:val="00167BE3"/>
    <w:rsid w:val="00167C33"/>
    <w:rsid w:val="00167DD0"/>
    <w:rsid w:val="00170621"/>
    <w:rsid w:val="00170B0B"/>
    <w:rsid w:val="00170C2A"/>
    <w:rsid w:val="00170C2E"/>
    <w:rsid w:val="00171430"/>
    <w:rsid w:val="001714BF"/>
    <w:rsid w:val="0017171B"/>
    <w:rsid w:val="001718E1"/>
    <w:rsid w:val="00171C6F"/>
    <w:rsid w:val="0017219A"/>
    <w:rsid w:val="00172B72"/>
    <w:rsid w:val="00172C1D"/>
    <w:rsid w:val="00172C33"/>
    <w:rsid w:val="00173180"/>
    <w:rsid w:val="00173339"/>
    <w:rsid w:val="00173421"/>
    <w:rsid w:val="00173CC1"/>
    <w:rsid w:val="00174101"/>
    <w:rsid w:val="0017527D"/>
    <w:rsid w:val="0017572A"/>
    <w:rsid w:val="00175812"/>
    <w:rsid w:val="00175FDA"/>
    <w:rsid w:val="00176209"/>
    <w:rsid w:val="0017622D"/>
    <w:rsid w:val="00176989"/>
    <w:rsid w:val="0017716D"/>
    <w:rsid w:val="001773FC"/>
    <w:rsid w:val="00177722"/>
    <w:rsid w:val="00180FDB"/>
    <w:rsid w:val="00181022"/>
    <w:rsid w:val="001810A7"/>
    <w:rsid w:val="001811D9"/>
    <w:rsid w:val="001815D4"/>
    <w:rsid w:val="0018166A"/>
    <w:rsid w:val="001816F8"/>
    <w:rsid w:val="00181B83"/>
    <w:rsid w:val="00182E15"/>
    <w:rsid w:val="00182E43"/>
    <w:rsid w:val="00183124"/>
    <w:rsid w:val="001834C2"/>
    <w:rsid w:val="00183B92"/>
    <w:rsid w:val="00183DF4"/>
    <w:rsid w:val="00183FE9"/>
    <w:rsid w:val="00184075"/>
    <w:rsid w:val="00184D5F"/>
    <w:rsid w:val="00184E84"/>
    <w:rsid w:val="001858E9"/>
    <w:rsid w:val="00186056"/>
    <w:rsid w:val="001865C2"/>
    <w:rsid w:val="00186AA3"/>
    <w:rsid w:val="00186FF6"/>
    <w:rsid w:val="0018769E"/>
    <w:rsid w:val="001879F5"/>
    <w:rsid w:val="00187BAA"/>
    <w:rsid w:val="00187C5B"/>
    <w:rsid w:val="00187CBD"/>
    <w:rsid w:val="00187EA8"/>
    <w:rsid w:val="00190ACD"/>
    <w:rsid w:val="00190F90"/>
    <w:rsid w:val="00190FBF"/>
    <w:rsid w:val="001912CB"/>
    <w:rsid w:val="0019185C"/>
    <w:rsid w:val="00191E80"/>
    <w:rsid w:val="001926A6"/>
    <w:rsid w:val="0019321C"/>
    <w:rsid w:val="00193277"/>
    <w:rsid w:val="00193657"/>
    <w:rsid w:val="00193988"/>
    <w:rsid w:val="001940E0"/>
    <w:rsid w:val="0019480A"/>
    <w:rsid w:val="001951D8"/>
    <w:rsid w:val="00195294"/>
    <w:rsid w:val="001955A0"/>
    <w:rsid w:val="001958FC"/>
    <w:rsid w:val="00196280"/>
    <w:rsid w:val="00196C46"/>
    <w:rsid w:val="0019775B"/>
    <w:rsid w:val="00197CC8"/>
    <w:rsid w:val="00197D2C"/>
    <w:rsid w:val="001A02CF"/>
    <w:rsid w:val="001A091F"/>
    <w:rsid w:val="001A0BFA"/>
    <w:rsid w:val="001A128B"/>
    <w:rsid w:val="001A1BAE"/>
    <w:rsid w:val="001A1EC2"/>
    <w:rsid w:val="001A27AE"/>
    <w:rsid w:val="001A293C"/>
    <w:rsid w:val="001A29C4"/>
    <w:rsid w:val="001A2C8B"/>
    <w:rsid w:val="001A3074"/>
    <w:rsid w:val="001A3085"/>
    <w:rsid w:val="001A3088"/>
    <w:rsid w:val="001A3569"/>
    <w:rsid w:val="001A42B1"/>
    <w:rsid w:val="001A42B3"/>
    <w:rsid w:val="001A468C"/>
    <w:rsid w:val="001A5050"/>
    <w:rsid w:val="001A5380"/>
    <w:rsid w:val="001A5418"/>
    <w:rsid w:val="001A559A"/>
    <w:rsid w:val="001A5C12"/>
    <w:rsid w:val="001A5E76"/>
    <w:rsid w:val="001A5FC0"/>
    <w:rsid w:val="001A66B4"/>
    <w:rsid w:val="001A67A4"/>
    <w:rsid w:val="001A72A4"/>
    <w:rsid w:val="001A76BC"/>
    <w:rsid w:val="001A775D"/>
    <w:rsid w:val="001A7A5B"/>
    <w:rsid w:val="001A7ABC"/>
    <w:rsid w:val="001A7B6A"/>
    <w:rsid w:val="001A7BBB"/>
    <w:rsid w:val="001B0764"/>
    <w:rsid w:val="001B0964"/>
    <w:rsid w:val="001B0BF2"/>
    <w:rsid w:val="001B11EE"/>
    <w:rsid w:val="001B1335"/>
    <w:rsid w:val="001B174D"/>
    <w:rsid w:val="001B1AAB"/>
    <w:rsid w:val="001B1C68"/>
    <w:rsid w:val="001B1DBA"/>
    <w:rsid w:val="001B1F7C"/>
    <w:rsid w:val="001B23F3"/>
    <w:rsid w:val="001B2479"/>
    <w:rsid w:val="001B2529"/>
    <w:rsid w:val="001B2A0D"/>
    <w:rsid w:val="001B39D5"/>
    <w:rsid w:val="001B4131"/>
    <w:rsid w:val="001B4329"/>
    <w:rsid w:val="001B4927"/>
    <w:rsid w:val="001B4A0E"/>
    <w:rsid w:val="001B4C01"/>
    <w:rsid w:val="001B4C98"/>
    <w:rsid w:val="001B4DED"/>
    <w:rsid w:val="001B55F6"/>
    <w:rsid w:val="001B56E8"/>
    <w:rsid w:val="001B582D"/>
    <w:rsid w:val="001B599D"/>
    <w:rsid w:val="001B639C"/>
    <w:rsid w:val="001B64CA"/>
    <w:rsid w:val="001B66FE"/>
    <w:rsid w:val="001B686C"/>
    <w:rsid w:val="001B6C2E"/>
    <w:rsid w:val="001B6F3F"/>
    <w:rsid w:val="001B6FF3"/>
    <w:rsid w:val="001B73CE"/>
    <w:rsid w:val="001B79A4"/>
    <w:rsid w:val="001B7A64"/>
    <w:rsid w:val="001C010B"/>
    <w:rsid w:val="001C0447"/>
    <w:rsid w:val="001C051C"/>
    <w:rsid w:val="001C0ED7"/>
    <w:rsid w:val="001C1378"/>
    <w:rsid w:val="001C1704"/>
    <w:rsid w:val="001C276D"/>
    <w:rsid w:val="001C2A67"/>
    <w:rsid w:val="001C2C52"/>
    <w:rsid w:val="001C2EE0"/>
    <w:rsid w:val="001C323E"/>
    <w:rsid w:val="001C3764"/>
    <w:rsid w:val="001C3C7A"/>
    <w:rsid w:val="001C3D35"/>
    <w:rsid w:val="001C3F76"/>
    <w:rsid w:val="001C4028"/>
    <w:rsid w:val="001C494B"/>
    <w:rsid w:val="001C4CAF"/>
    <w:rsid w:val="001C50AF"/>
    <w:rsid w:val="001C51BF"/>
    <w:rsid w:val="001C54AD"/>
    <w:rsid w:val="001C595B"/>
    <w:rsid w:val="001C5CD1"/>
    <w:rsid w:val="001C5DEE"/>
    <w:rsid w:val="001C5EEE"/>
    <w:rsid w:val="001C5F80"/>
    <w:rsid w:val="001C63DC"/>
    <w:rsid w:val="001C64A3"/>
    <w:rsid w:val="001C6ED2"/>
    <w:rsid w:val="001C7154"/>
    <w:rsid w:val="001C79B4"/>
    <w:rsid w:val="001C7DC5"/>
    <w:rsid w:val="001C7E53"/>
    <w:rsid w:val="001D123B"/>
    <w:rsid w:val="001D13C3"/>
    <w:rsid w:val="001D1967"/>
    <w:rsid w:val="001D2173"/>
    <w:rsid w:val="001D325A"/>
    <w:rsid w:val="001D35BE"/>
    <w:rsid w:val="001D3A24"/>
    <w:rsid w:val="001D3D2B"/>
    <w:rsid w:val="001D437D"/>
    <w:rsid w:val="001D462F"/>
    <w:rsid w:val="001D464E"/>
    <w:rsid w:val="001D48D4"/>
    <w:rsid w:val="001D4B12"/>
    <w:rsid w:val="001D5129"/>
    <w:rsid w:val="001D621A"/>
    <w:rsid w:val="001D627F"/>
    <w:rsid w:val="001D6CE6"/>
    <w:rsid w:val="001D6CE9"/>
    <w:rsid w:val="001D70DD"/>
    <w:rsid w:val="001D717F"/>
    <w:rsid w:val="001D74B3"/>
    <w:rsid w:val="001D787B"/>
    <w:rsid w:val="001E000B"/>
    <w:rsid w:val="001E03AF"/>
    <w:rsid w:val="001E0F47"/>
    <w:rsid w:val="001E10F4"/>
    <w:rsid w:val="001E1316"/>
    <w:rsid w:val="001E141A"/>
    <w:rsid w:val="001E15AE"/>
    <w:rsid w:val="001E190C"/>
    <w:rsid w:val="001E194D"/>
    <w:rsid w:val="001E1B49"/>
    <w:rsid w:val="001E1EC5"/>
    <w:rsid w:val="001E25E2"/>
    <w:rsid w:val="001E2F6A"/>
    <w:rsid w:val="001E3719"/>
    <w:rsid w:val="001E3B24"/>
    <w:rsid w:val="001E403A"/>
    <w:rsid w:val="001E4235"/>
    <w:rsid w:val="001E42B1"/>
    <w:rsid w:val="001E4F48"/>
    <w:rsid w:val="001E5D06"/>
    <w:rsid w:val="001E60CE"/>
    <w:rsid w:val="001E613A"/>
    <w:rsid w:val="001E669C"/>
    <w:rsid w:val="001E6F0F"/>
    <w:rsid w:val="001E7467"/>
    <w:rsid w:val="001E74D6"/>
    <w:rsid w:val="001E75C4"/>
    <w:rsid w:val="001F11BE"/>
    <w:rsid w:val="001F1237"/>
    <w:rsid w:val="001F1379"/>
    <w:rsid w:val="001F1528"/>
    <w:rsid w:val="001F1942"/>
    <w:rsid w:val="001F2145"/>
    <w:rsid w:val="001F32A7"/>
    <w:rsid w:val="001F39F7"/>
    <w:rsid w:val="001F3A1A"/>
    <w:rsid w:val="001F3A41"/>
    <w:rsid w:val="001F431F"/>
    <w:rsid w:val="001F43C4"/>
    <w:rsid w:val="001F482F"/>
    <w:rsid w:val="001F4A8C"/>
    <w:rsid w:val="001F5099"/>
    <w:rsid w:val="001F51AE"/>
    <w:rsid w:val="001F5D63"/>
    <w:rsid w:val="001F767E"/>
    <w:rsid w:val="001F77FA"/>
    <w:rsid w:val="001F7E76"/>
    <w:rsid w:val="00200184"/>
    <w:rsid w:val="00200231"/>
    <w:rsid w:val="0020078C"/>
    <w:rsid w:val="0020131C"/>
    <w:rsid w:val="00201409"/>
    <w:rsid w:val="002016EC"/>
    <w:rsid w:val="002019E6"/>
    <w:rsid w:val="00201ACE"/>
    <w:rsid w:val="00201BCD"/>
    <w:rsid w:val="00202466"/>
    <w:rsid w:val="002028EC"/>
    <w:rsid w:val="00203290"/>
    <w:rsid w:val="002034B7"/>
    <w:rsid w:val="00203776"/>
    <w:rsid w:val="002037F3"/>
    <w:rsid w:val="00203CC1"/>
    <w:rsid w:val="002043E7"/>
    <w:rsid w:val="00204879"/>
    <w:rsid w:val="00204890"/>
    <w:rsid w:val="00205489"/>
    <w:rsid w:val="002054A3"/>
    <w:rsid w:val="00205786"/>
    <w:rsid w:val="002057EC"/>
    <w:rsid w:val="00205D91"/>
    <w:rsid w:val="00205E28"/>
    <w:rsid w:val="00205EA9"/>
    <w:rsid w:val="00206048"/>
    <w:rsid w:val="0020604B"/>
    <w:rsid w:val="002066DB"/>
    <w:rsid w:val="002067D9"/>
    <w:rsid w:val="00206A57"/>
    <w:rsid w:val="00206BBB"/>
    <w:rsid w:val="00206EA9"/>
    <w:rsid w:val="002070C2"/>
    <w:rsid w:val="00207235"/>
    <w:rsid w:val="002078F4"/>
    <w:rsid w:val="002110EC"/>
    <w:rsid w:val="00211457"/>
    <w:rsid w:val="0021157A"/>
    <w:rsid w:val="00211F4E"/>
    <w:rsid w:val="002120F6"/>
    <w:rsid w:val="002121B8"/>
    <w:rsid w:val="00212480"/>
    <w:rsid w:val="002125B5"/>
    <w:rsid w:val="0021328B"/>
    <w:rsid w:val="002132E4"/>
    <w:rsid w:val="0021376D"/>
    <w:rsid w:val="00213C16"/>
    <w:rsid w:val="00213DDC"/>
    <w:rsid w:val="00214090"/>
    <w:rsid w:val="0021417E"/>
    <w:rsid w:val="00214988"/>
    <w:rsid w:val="0021530C"/>
    <w:rsid w:val="0021536C"/>
    <w:rsid w:val="00215423"/>
    <w:rsid w:val="00215BD4"/>
    <w:rsid w:val="00215C7F"/>
    <w:rsid w:val="0021737E"/>
    <w:rsid w:val="0021782B"/>
    <w:rsid w:val="00217B9D"/>
    <w:rsid w:val="0022143F"/>
    <w:rsid w:val="0022158D"/>
    <w:rsid w:val="00221A71"/>
    <w:rsid w:val="00221C66"/>
    <w:rsid w:val="0022240F"/>
    <w:rsid w:val="0022250A"/>
    <w:rsid w:val="0022283A"/>
    <w:rsid w:val="00222AD8"/>
    <w:rsid w:val="00222B66"/>
    <w:rsid w:val="0022309A"/>
    <w:rsid w:val="00223249"/>
    <w:rsid w:val="00223B66"/>
    <w:rsid w:val="00223C91"/>
    <w:rsid w:val="00223CF2"/>
    <w:rsid w:val="00223E1E"/>
    <w:rsid w:val="00224327"/>
    <w:rsid w:val="0022453C"/>
    <w:rsid w:val="0022517D"/>
    <w:rsid w:val="002251A9"/>
    <w:rsid w:val="00225291"/>
    <w:rsid w:val="00225366"/>
    <w:rsid w:val="0022574B"/>
    <w:rsid w:val="0022611F"/>
    <w:rsid w:val="0022644F"/>
    <w:rsid w:val="00226509"/>
    <w:rsid w:val="00226785"/>
    <w:rsid w:val="002267D8"/>
    <w:rsid w:val="00226BF4"/>
    <w:rsid w:val="00226E86"/>
    <w:rsid w:val="002271AB"/>
    <w:rsid w:val="00227A4F"/>
    <w:rsid w:val="00227BC2"/>
    <w:rsid w:val="00227F88"/>
    <w:rsid w:val="00230A16"/>
    <w:rsid w:val="00230AC1"/>
    <w:rsid w:val="00231DE1"/>
    <w:rsid w:val="00231FB6"/>
    <w:rsid w:val="0023224B"/>
    <w:rsid w:val="00232294"/>
    <w:rsid w:val="002325BB"/>
    <w:rsid w:val="00232979"/>
    <w:rsid w:val="00232B71"/>
    <w:rsid w:val="00233101"/>
    <w:rsid w:val="0023316B"/>
    <w:rsid w:val="0023372A"/>
    <w:rsid w:val="002338E8"/>
    <w:rsid w:val="00233B6C"/>
    <w:rsid w:val="00233D89"/>
    <w:rsid w:val="002341FD"/>
    <w:rsid w:val="002348CC"/>
    <w:rsid w:val="00234DF7"/>
    <w:rsid w:val="00234FCC"/>
    <w:rsid w:val="0023549A"/>
    <w:rsid w:val="002355E2"/>
    <w:rsid w:val="00235CB2"/>
    <w:rsid w:val="0023661D"/>
    <w:rsid w:val="0023685C"/>
    <w:rsid w:val="00236A5B"/>
    <w:rsid w:val="00237223"/>
    <w:rsid w:val="00237231"/>
    <w:rsid w:val="002372D2"/>
    <w:rsid w:val="0023765D"/>
    <w:rsid w:val="00237F8E"/>
    <w:rsid w:val="00240200"/>
    <w:rsid w:val="00240377"/>
    <w:rsid w:val="002403EF"/>
    <w:rsid w:val="002406DA"/>
    <w:rsid w:val="002406DB"/>
    <w:rsid w:val="00241358"/>
    <w:rsid w:val="0024168B"/>
    <w:rsid w:val="00241DDA"/>
    <w:rsid w:val="00241EA9"/>
    <w:rsid w:val="002434D7"/>
    <w:rsid w:val="00244159"/>
    <w:rsid w:val="0024430F"/>
    <w:rsid w:val="00244454"/>
    <w:rsid w:val="002449BC"/>
    <w:rsid w:val="00244CC4"/>
    <w:rsid w:val="00245286"/>
    <w:rsid w:val="00245374"/>
    <w:rsid w:val="002454D6"/>
    <w:rsid w:val="002459A8"/>
    <w:rsid w:val="00245D1B"/>
    <w:rsid w:val="00245D5C"/>
    <w:rsid w:val="00245E87"/>
    <w:rsid w:val="00246322"/>
    <w:rsid w:val="00246F70"/>
    <w:rsid w:val="00247345"/>
    <w:rsid w:val="00247548"/>
    <w:rsid w:val="002478F3"/>
    <w:rsid w:val="00247A1F"/>
    <w:rsid w:val="00250105"/>
    <w:rsid w:val="002502E3"/>
    <w:rsid w:val="00250BCE"/>
    <w:rsid w:val="00250E9A"/>
    <w:rsid w:val="0025113B"/>
    <w:rsid w:val="002519BB"/>
    <w:rsid w:val="00251DF9"/>
    <w:rsid w:val="00251E23"/>
    <w:rsid w:val="002520FE"/>
    <w:rsid w:val="002523C9"/>
    <w:rsid w:val="00252ACB"/>
    <w:rsid w:val="00252E50"/>
    <w:rsid w:val="002531B2"/>
    <w:rsid w:val="00253705"/>
    <w:rsid w:val="00253ACE"/>
    <w:rsid w:val="00254360"/>
    <w:rsid w:val="00254640"/>
    <w:rsid w:val="00254BDD"/>
    <w:rsid w:val="00255135"/>
    <w:rsid w:val="00255553"/>
    <w:rsid w:val="002556E0"/>
    <w:rsid w:val="00255946"/>
    <w:rsid w:val="00255BC8"/>
    <w:rsid w:val="00255DB4"/>
    <w:rsid w:val="0025658F"/>
    <w:rsid w:val="00256D89"/>
    <w:rsid w:val="00256F6A"/>
    <w:rsid w:val="0025737C"/>
    <w:rsid w:val="00257CAA"/>
    <w:rsid w:val="00257D6E"/>
    <w:rsid w:val="002606D1"/>
    <w:rsid w:val="00261047"/>
    <w:rsid w:val="0026153D"/>
    <w:rsid w:val="00262803"/>
    <w:rsid w:val="00262878"/>
    <w:rsid w:val="002629D8"/>
    <w:rsid w:val="00262BCE"/>
    <w:rsid w:val="002634B6"/>
    <w:rsid w:val="00263CBC"/>
    <w:rsid w:val="002648FE"/>
    <w:rsid w:val="00264985"/>
    <w:rsid w:val="002649D1"/>
    <w:rsid w:val="00264FA1"/>
    <w:rsid w:val="00264FBD"/>
    <w:rsid w:val="002650A5"/>
    <w:rsid w:val="002653E6"/>
    <w:rsid w:val="002653E9"/>
    <w:rsid w:val="00266382"/>
    <w:rsid w:val="00266B9D"/>
    <w:rsid w:val="00266D71"/>
    <w:rsid w:val="00266ECA"/>
    <w:rsid w:val="00266FD9"/>
    <w:rsid w:val="00267770"/>
    <w:rsid w:val="0027082B"/>
    <w:rsid w:val="00270B4A"/>
    <w:rsid w:val="00270F1D"/>
    <w:rsid w:val="00270F3A"/>
    <w:rsid w:val="0027106F"/>
    <w:rsid w:val="002712BD"/>
    <w:rsid w:val="002713C5"/>
    <w:rsid w:val="00271904"/>
    <w:rsid w:val="0027233B"/>
    <w:rsid w:val="00272B91"/>
    <w:rsid w:val="00272CAB"/>
    <w:rsid w:val="0027312D"/>
    <w:rsid w:val="002733D9"/>
    <w:rsid w:val="0027385C"/>
    <w:rsid w:val="00273CF2"/>
    <w:rsid w:val="002744D9"/>
    <w:rsid w:val="00274843"/>
    <w:rsid w:val="002750AF"/>
    <w:rsid w:val="0027572A"/>
    <w:rsid w:val="00275C97"/>
    <w:rsid w:val="00275E6C"/>
    <w:rsid w:val="0027631F"/>
    <w:rsid w:val="00276346"/>
    <w:rsid w:val="002764C4"/>
    <w:rsid w:val="00276C73"/>
    <w:rsid w:val="00276E0D"/>
    <w:rsid w:val="00277516"/>
    <w:rsid w:val="002776AA"/>
    <w:rsid w:val="00277E6A"/>
    <w:rsid w:val="00277F61"/>
    <w:rsid w:val="002805AA"/>
    <w:rsid w:val="002806F3"/>
    <w:rsid w:val="00280878"/>
    <w:rsid w:val="002808D8"/>
    <w:rsid w:val="0028096C"/>
    <w:rsid w:val="00282A4B"/>
    <w:rsid w:val="002836D0"/>
    <w:rsid w:val="002839CE"/>
    <w:rsid w:val="00283FCB"/>
    <w:rsid w:val="00284F44"/>
    <w:rsid w:val="002850A6"/>
    <w:rsid w:val="00285756"/>
    <w:rsid w:val="00286137"/>
    <w:rsid w:val="002862E4"/>
    <w:rsid w:val="00286C4F"/>
    <w:rsid w:val="0028717E"/>
    <w:rsid w:val="00290161"/>
    <w:rsid w:val="0029016E"/>
    <w:rsid w:val="0029043F"/>
    <w:rsid w:val="002904FE"/>
    <w:rsid w:val="00290C0D"/>
    <w:rsid w:val="00290E62"/>
    <w:rsid w:val="00291579"/>
    <w:rsid w:val="002915D2"/>
    <w:rsid w:val="0029165E"/>
    <w:rsid w:val="0029175C"/>
    <w:rsid w:val="00291B98"/>
    <w:rsid w:val="0029269D"/>
    <w:rsid w:val="002928EF"/>
    <w:rsid w:val="00292F3F"/>
    <w:rsid w:val="00293065"/>
    <w:rsid w:val="00293671"/>
    <w:rsid w:val="002937CF"/>
    <w:rsid w:val="00293B63"/>
    <w:rsid w:val="0029401E"/>
    <w:rsid w:val="00294278"/>
    <w:rsid w:val="00294498"/>
    <w:rsid w:val="0029453A"/>
    <w:rsid w:val="00294C1D"/>
    <w:rsid w:val="00295903"/>
    <w:rsid w:val="002959E6"/>
    <w:rsid w:val="00295E50"/>
    <w:rsid w:val="00297408"/>
    <w:rsid w:val="00297738"/>
    <w:rsid w:val="002A0361"/>
    <w:rsid w:val="002A092C"/>
    <w:rsid w:val="002A0AFD"/>
    <w:rsid w:val="002A0BA5"/>
    <w:rsid w:val="002A1DEE"/>
    <w:rsid w:val="002A1FBC"/>
    <w:rsid w:val="002A217B"/>
    <w:rsid w:val="002A2E7A"/>
    <w:rsid w:val="002A35E8"/>
    <w:rsid w:val="002A3606"/>
    <w:rsid w:val="002A3844"/>
    <w:rsid w:val="002A3C93"/>
    <w:rsid w:val="002A3CD9"/>
    <w:rsid w:val="002A3DD9"/>
    <w:rsid w:val="002A428F"/>
    <w:rsid w:val="002A43D6"/>
    <w:rsid w:val="002A46C7"/>
    <w:rsid w:val="002A4918"/>
    <w:rsid w:val="002A4F2D"/>
    <w:rsid w:val="002A4F30"/>
    <w:rsid w:val="002A4FD6"/>
    <w:rsid w:val="002A54CD"/>
    <w:rsid w:val="002A555B"/>
    <w:rsid w:val="002A5584"/>
    <w:rsid w:val="002A55A2"/>
    <w:rsid w:val="002A5725"/>
    <w:rsid w:val="002A5BC4"/>
    <w:rsid w:val="002A605F"/>
    <w:rsid w:val="002A6D89"/>
    <w:rsid w:val="002A7015"/>
    <w:rsid w:val="002A7772"/>
    <w:rsid w:val="002A7B52"/>
    <w:rsid w:val="002A7E62"/>
    <w:rsid w:val="002A7F3A"/>
    <w:rsid w:val="002A7F5B"/>
    <w:rsid w:val="002B01AF"/>
    <w:rsid w:val="002B1330"/>
    <w:rsid w:val="002B158A"/>
    <w:rsid w:val="002B16A7"/>
    <w:rsid w:val="002B18A1"/>
    <w:rsid w:val="002B1B6C"/>
    <w:rsid w:val="002B210C"/>
    <w:rsid w:val="002B2127"/>
    <w:rsid w:val="002B264E"/>
    <w:rsid w:val="002B37CE"/>
    <w:rsid w:val="002B3BA5"/>
    <w:rsid w:val="002B3DA0"/>
    <w:rsid w:val="002B3DC9"/>
    <w:rsid w:val="002B3E62"/>
    <w:rsid w:val="002B418D"/>
    <w:rsid w:val="002B4CFA"/>
    <w:rsid w:val="002B4DBC"/>
    <w:rsid w:val="002B51E9"/>
    <w:rsid w:val="002B57AB"/>
    <w:rsid w:val="002B5BFD"/>
    <w:rsid w:val="002B5EB6"/>
    <w:rsid w:val="002B5FC6"/>
    <w:rsid w:val="002B66E7"/>
    <w:rsid w:val="002B6A3A"/>
    <w:rsid w:val="002B6C4D"/>
    <w:rsid w:val="002B7A4E"/>
    <w:rsid w:val="002B7ABB"/>
    <w:rsid w:val="002B7CC9"/>
    <w:rsid w:val="002B7E55"/>
    <w:rsid w:val="002B7EF8"/>
    <w:rsid w:val="002B7EF9"/>
    <w:rsid w:val="002C01D6"/>
    <w:rsid w:val="002C0649"/>
    <w:rsid w:val="002C1570"/>
    <w:rsid w:val="002C165E"/>
    <w:rsid w:val="002C1701"/>
    <w:rsid w:val="002C17CE"/>
    <w:rsid w:val="002C1CCF"/>
    <w:rsid w:val="002C2CB8"/>
    <w:rsid w:val="002C2DA4"/>
    <w:rsid w:val="002C2E97"/>
    <w:rsid w:val="002C3363"/>
    <w:rsid w:val="002C3983"/>
    <w:rsid w:val="002C3CDE"/>
    <w:rsid w:val="002C402D"/>
    <w:rsid w:val="002C407C"/>
    <w:rsid w:val="002C4B97"/>
    <w:rsid w:val="002C4C71"/>
    <w:rsid w:val="002C4D98"/>
    <w:rsid w:val="002C500E"/>
    <w:rsid w:val="002C511F"/>
    <w:rsid w:val="002C51B4"/>
    <w:rsid w:val="002C5235"/>
    <w:rsid w:val="002C52E1"/>
    <w:rsid w:val="002C5B92"/>
    <w:rsid w:val="002C5C17"/>
    <w:rsid w:val="002C5F7F"/>
    <w:rsid w:val="002C63E6"/>
    <w:rsid w:val="002C67A1"/>
    <w:rsid w:val="002C691B"/>
    <w:rsid w:val="002C6C39"/>
    <w:rsid w:val="002C6C54"/>
    <w:rsid w:val="002C72B3"/>
    <w:rsid w:val="002C7578"/>
    <w:rsid w:val="002C76A6"/>
    <w:rsid w:val="002D00E8"/>
    <w:rsid w:val="002D0135"/>
    <w:rsid w:val="002D03C1"/>
    <w:rsid w:val="002D041F"/>
    <w:rsid w:val="002D0D6C"/>
    <w:rsid w:val="002D151B"/>
    <w:rsid w:val="002D1C72"/>
    <w:rsid w:val="002D2425"/>
    <w:rsid w:val="002D2ABD"/>
    <w:rsid w:val="002D2F3F"/>
    <w:rsid w:val="002D3068"/>
    <w:rsid w:val="002D32F1"/>
    <w:rsid w:val="002D343E"/>
    <w:rsid w:val="002D3828"/>
    <w:rsid w:val="002D392E"/>
    <w:rsid w:val="002D43A6"/>
    <w:rsid w:val="002D4C25"/>
    <w:rsid w:val="002D4CC6"/>
    <w:rsid w:val="002D4FBD"/>
    <w:rsid w:val="002D5179"/>
    <w:rsid w:val="002D532F"/>
    <w:rsid w:val="002D5BCB"/>
    <w:rsid w:val="002D5EBF"/>
    <w:rsid w:val="002D6096"/>
    <w:rsid w:val="002D60EC"/>
    <w:rsid w:val="002D63B2"/>
    <w:rsid w:val="002D647C"/>
    <w:rsid w:val="002D662B"/>
    <w:rsid w:val="002D69CF"/>
    <w:rsid w:val="002D6F20"/>
    <w:rsid w:val="002D6F2E"/>
    <w:rsid w:val="002D752F"/>
    <w:rsid w:val="002D7AE7"/>
    <w:rsid w:val="002D7F6F"/>
    <w:rsid w:val="002E0CF2"/>
    <w:rsid w:val="002E0D5F"/>
    <w:rsid w:val="002E0F1B"/>
    <w:rsid w:val="002E1654"/>
    <w:rsid w:val="002E16EA"/>
    <w:rsid w:val="002E16FC"/>
    <w:rsid w:val="002E18A7"/>
    <w:rsid w:val="002E198D"/>
    <w:rsid w:val="002E1B24"/>
    <w:rsid w:val="002E1B27"/>
    <w:rsid w:val="002E1F4C"/>
    <w:rsid w:val="002E2316"/>
    <w:rsid w:val="002E2D33"/>
    <w:rsid w:val="002E2D39"/>
    <w:rsid w:val="002E2D90"/>
    <w:rsid w:val="002E41A8"/>
    <w:rsid w:val="002E42F7"/>
    <w:rsid w:val="002E4925"/>
    <w:rsid w:val="002E4BC9"/>
    <w:rsid w:val="002E50E9"/>
    <w:rsid w:val="002E5385"/>
    <w:rsid w:val="002E539D"/>
    <w:rsid w:val="002E53A7"/>
    <w:rsid w:val="002E57D7"/>
    <w:rsid w:val="002E5960"/>
    <w:rsid w:val="002E5C84"/>
    <w:rsid w:val="002E5EC4"/>
    <w:rsid w:val="002E5F0B"/>
    <w:rsid w:val="002E66E8"/>
    <w:rsid w:val="002E6EC3"/>
    <w:rsid w:val="002E706F"/>
    <w:rsid w:val="002E7D6A"/>
    <w:rsid w:val="002E7DB6"/>
    <w:rsid w:val="002E7DBF"/>
    <w:rsid w:val="002E7E09"/>
    <w:rsid w:val="002F025C"/>
    <w:rsid w:val="002F0714"/>
    <w:rsid w:val="002F0967"/>
    <w:rsid w:val="002F09EC"/>
    <w:rsid w:val="002F1307"/>
    <w:rsid w:val="002F13A4"/>
    <w:rsid w:val="002F13C1"/>
    <w:rsid w:val="002F1BA5"/>
    <w:rsid w:val="002F2509"/>
    <w:rsid w:val="002F291D"/>
    <w:rsid w:val="002F29DD"/>
    <w:rsid w:val="002F2A2F"/>
    <w:rsid w:val="002F2D75"/>
    <w:rsid w:val="002F3041"/>
    <w:rsid w:val="002F34CD"/>
    <w:rsid w:val="002F3637"/>
    <w:rsid w:val="002F3740"/>
    <w:rsid w:val="002F548E"/>
    <w:rsid w:val="002F56C4"/>
    <w:rsid w:val="002F5893"/>
    <w:rsid w:val="002F58C8"/>
    <w:rsid w:val="002F5A41"/>
    <w:rsid w:val="002F68BF"/>
    <w:rsid w:val="002F6A12"/>
    <w:rsid w:val="002F6D56"/>
    <w:rsid w:val="002F6F3A"/>
    <w:rsid w:val="002F757A"/>
    <w:rsid w:val="002F76A6"/>
    <w:rsid w:val="0030061E"/>
    <w:rsid w:val="003006B8"/>
    <w:rsid w:val="003007C1"/>
    <w:rsid w:val="00300B6A"/>
    <w:rsid w:val="00300FB6"/>
    <w:rsid w:val="00301242"/>
    <w:rsid w:val="0030183C"/>
    <w:rsid w:val="0030187E"/>
    <w:rsid w:val="00301981"/>
    <w:rsid w:val="00301E57"/>
    <w:rsid w:val="00302771"/>
    <w:rsid w:val="00302CCC"/>
    <w:rsid w:val="0030310F"/>
    <w:rsid w:val="00303322"/>
    <w:rsid w:val="00303427"/>
    <w:rsid w:val="00303A43"/>
    <w:rsid w:val="00303FE1"/>
    <w:rsid w:val="0030433C"/>
    <w:rsid w:val="00304601"/>
    <w:rsid w:val="003046B9"/>
    <w:rsid w:val="0030494D"/>
    <w:rsid w:val="00304C44"/>
    <w:rsid w:val="00304D6A"/>
    <w:rsid w:val="00304EAF"/>
    <w:rsid w:val="00305413"/>
    <w:rsid w:val="00305473"/>
    <w:rsid w:val="00305972"/>
    <w:rsid w:val="00305AF1"/>
    <w:rsid w:val="00305B79"/>
    <w:rsid w:val="00306369"/>
    <w:rsid w:val="003066AC"/>
    <w:rsid w:val="00306904"/>
    <w:rsid w:val="003073BC"/>
    <w:rsid w:val="00307785"/>
    <w:rsid w:val="00307BF4"/>
    <w:rsid w:val="00307FAD"/>
    <w:rsid w:val="003107B3"/>
    <w:rsid w:val="00310E8F"/>
    <w:rsid w:val="00310F9D"/>
    <w:rsid w:val="00311302"/>
    <w:rsid w:val="00311790"/>
    <w:rsid w:val="00312022"/>
    <w:rsid w:val="00312AD1"/>
    <w:rsid w:val="00312C9D"/>
    <w:rsid w:val="003135AE"/>
    <w:rsid w:val="00313C57"/>
    <w:rsid w:val="00314090"/>
    <w:rsid w:val="00314F12"/>
    <w:rsid w:val="003150B9"/>
    <w:rsid w:val="003152E0"/>
    <w:rsid w:val="003152F1"/>
    <w:rsid w:val="00315748"/>
    <w:rsid w:val="003162D9"/>
    <w:rsid w:val="00316439"/>
    <w:rsid w:val="00316D1D"/>
    <w:rsid w:val="00316DB7"/>
    <w:rsid w:val="00317225"/>
    <w:rsid w:val="0031747A"/>
    <w:rsid w:val="00317BF6"/>
    <w:rsid w:val="00317C27"/>
    <w:rsid w:val="00320C75"/>
    <w:rsid w:val="00320FE6"/>
    <w:rsid w:val="0032128F"/>
    <w:rsid w:val="003216E4"/>
    <w:rsid w:val="00321796"/>
    <w:rsid w:val="0032205C"/>
    <w:rsid w:val="00322B18"/>
    <w:rsid w:val="00322E20"/>
    <w:rsid w:val="00322EFB"/>
    <w:rsid w:val="003232A1"/>
    <w:rsid w:val="003234DE"/>
    <w:rsid w:val="00323DEA"/>
    <w:rsid w:val="00323EEC"/>
    <w:rsid w:val="003244EA"/>
    <w:rsid w:val="003245F3"/>
    <w:rsid w:val="00324EAE"/>
    <w:rsid w:val="00324F57"/>
    <w:rsid w:val="00325548"/>
    <w:rsid w:val="00325615"/>
    <w:rsid w:val="00325622"/>
    <w:rsid w:val="00325677"/>
    <w:rsid w:val="003256A8"/>
    <w:rsid w:val="003258E3"/>
    <w:rsid w:val="00326208"/>
    <w:rsid w:val="003265EC"/>
    <w:rsid w:val="00326773"/>
    <w:rsid w:val="003267B5"/>
    <w:rsid w:val="00326A3F"/>
    <w:rsid w:val="00326F5D"/>
    <w:rsid w:val="003274DF"/>
    <w:rsid w:val="00327905"/>
    <w:rsid w:val="00327C09"/>
    <w:rsid w:val="00327C54"/>
    <w:rsid w:val="003302EC"/>
    <w:rsid w:val="00331447"/>
    <w:rsid w:val="00331502"/>
    <w:rsid w:val="00331AFF"/>
    <w:rsid w:val="00332050"/>
    <w:rsid w:val="003320D5"/>
    <w:rsid w:val="003324C5"/>
    <w:rsid w:val="00332C71"/>
    <w:rsid w:val="0033317D"/>
    <w:rsid w:val="00333C9B"/>
    <w:rsid w:val="00333E76"/>
    <w:rsid w:val="003343B7"/>
    <w:rsid w:val="00334828"/>
    <w:rsid w:val="003349A0"/>
    <w:rsid w:val="00334A35"/>
    <w:rsid w:val="00334D12"/>
    <w:rsid w:val="00335444"/>
    <w:rsid w:val="00335A03"/>
    <w:rsid w:val="00335D35"/>
    <w:rsid w:val="00335F46"/>
    <w:rsid w:val="003360E8"/>
    <w:rsid w:val="003367FC"/>
    <w:rsid w:val="00336848"/>
    <w:rsid w:val="00336910"/>
    <w:rsid w:val="0033734B"/>
    <w:rsid w:val="00337630"/>
    <w:rsid w:val="003402EA"/>
    <w:rsid w:val="0034067E"/>
    <w:rsid w:val="0034141E"/>
    <w:rsid w:val="0034156C"/>
    <w:rsid w:val="003428B4"/>
    <w:rsid w:val="00342E0D"/>
    <w:rsid w:val="00342F50"/>
    <w:rsid w:val="00343396"/>
    <w:rsid w:val="0034356C"/>
    <w:rsid w:val="003436A5"/>
    <w:rsid w:val="00343A89"/>
    <w:rsid w:val="00344A12"/>
    <w:rsid w:val="00344B2B"/>
    <w:rsid w:val="00344E4F"/>
    <w:rsid w:val="0034586B"/>
    <w:rsid w:val="00346908"/>
    <w:rsid w:val="00346CAD"/>
    <w:rsid w:val="0034710F"/>
    <w:rsid w:val="00347320"/>
    <w:rsid w:val="003473CF"/>
    <w:rsid w:val="0034758B"/>
    <w:rsid w:val="00347B30"/>
    <w:rsid w:val="00347E16"/>
    <w:rsid w:val="003500EC"/>
    <w:rsid w:val="00350418"/>
    <w:rsid w:val="00350756"/>
    <w:rsid w:val="00350C3C"/>
    <w:rsid w:val="00350DAB"/>
    <w:rsid w:val="003516DF"/>
    <w:rsid w:val="00351A41"/>
    <w:rsid w:val="00351C77"/>
    <w:rsid w:val="00351D02"/>
    <w:rsid w:val="00352109"/>
    <w:rsid w:val="00352178"/>
    <w:rsid w:val="003521DF"/>
    <w:rsid w:val="00352259"/>
    <w:rsid w:val="003525A3"/>
    <w:rsid w:val="003525F6"/>
    <w:rsid w:val="00352869"/>
    <w:rsid w:val="00352D94"/>
    <w:rsid w:val="00352EF1"/>
    <w:rsid w:val="00353A8A"/>
    <w:rsid w:val="00353B92"/>
    <w:rsid w:val="00353F80"/>
    <w:rsid w:val="00354153"/>
    <w:rsid w:val="0035439A"/>
    <w:rsid w:val="0035444D"/>
    <w:rsid w:val="00354456"/>
    <w:rsid w:val="00354A58"/>
    <w:rsid w:val="00354ADE"/>
    <w:rsid w:val="0035512F"/>
    <w:rsid w:val="00355214"/>
    <w:rsid w:val="00355270"/>
    <w:rsid w:val="003554DC"/>
    <w:rsid w:val="003556F8"/>
    <w:rsid w:val="003563DB"/>
    <w:rsid w:val="00356941"/>
    <w:rsid w:val="003572A8"/>
    <w:rsid w:val="003572BC"/>
    <w:rsid w:val="003573B4"/>
    <w:rsid w:val="00357685"/>
    <w:rsid w:val="00357832"/>
    <w:rsid w:val="00357978"/>
    <w:rsid w:val="00357B8A"/>
    <w:rsid w:val="00357EC8"/>
    <w:rsid w:val="0036008A"/>
    <w:rsid w:val="00360344"/>
    <w:rsid w:val="0036057B"/>
    <w:rsid w:val="003606CF"/>
    <w:rsid w:val="00360732"/>
    <w:rsid w:val="00360EF3"/>
    <w:rsid w:val="0036119A"/>
    <w:rsid w:val="003611AA"/>
    <w:rsid w:val="00361666"/>
    <w:rsid w:val="00361DA0"/>
    <w:rsid w:val="00362224"/>
    <w:rsid w:val="003629D7"/>
    <w:rsid w:val="00362AA1"/>
    <w:rsid w:val="00362ABE"/>
    <w:rsid w:val="00362D7B"/>
    <w:rsid w:val="00362DA0"/>
    <w:rsid w:val="00362FB8"/>
    <w:rsid w:val="0036330A"/>
    <w:rsid w:val="0036359F"/>
    <w:rsid w:val="003635C9"/>
    <w:rsid w:val="003637FD"/>
    <w:rsid w:val="0036380F"/>
    <w:rsid w:val="00363CC5"/>
    <w:rsid w:val="00363D88"/>
    <w:rsid w:val="003644CA"/>
    <w:rsid w:val="0036489C"/>
    <w:rsid w:val="00364CE3"/>
    <w:rsid w:val="00364FB1"/>
    <w:rsid w:val="00365057"/>
    <w:rsid w:val="00365234"/>
    <w:rsid w:val="00365290"/>
    <w:rsid w:val="0036530C"/>
    <w:rsid w:val="00365327"/>
    <w:rsid w:val="003659A8"/>
    <w:rsid w:val="00365FD4"/>
    <w:rsid w:val="00366518"/>
    <w:rsid w:val="003665C7"/>
    <w:rsid w:val="0036692A"/>
    <w:rsid w:val="00366AE2"/>
    <w:rsid w:val="00366CC4"/>
    <w:rsid w:val="0036764E"/>
    <w:rsid w:val="00367E54"/>
    <w:rsid w:val="00370698"/>
    <w:rsid w:val="003707FF"/>
    <w:rsid w:val="00370AE4"/>
    <w:rsid w:val="00370B7B"/>
    <w:rsid w:val="00370D36"/>
    <w:rsid w:val="00370E26"/>
    <w:rsid w:val="003715EE"/>
    <w:rsid w:val="00371B7E"/>
    <w:rsid w:val="00371E17"/>
    <w:rsid w:val="003727FA"/>
    <w:rsid w:val="00372A20"/>
    <w:rsid w:val="00372B89"/>
    <w:rsid w:val="00372B9D"/>
    <w:rsid w:val="00372BB9"/>
    <w:rsid w:val="00373402"/>
    <w:rsid w:val="00373EB6"/>
    <w:rsid w:val="00374199"/>
    <w:rsid w:val="00374CB3"/>
    <w:rsid w:val="00374D6C"/>
    <w:rsid w:val="00374E0B"/>
    <w:rsid w:val="003750C0"/>
    <w:rsid w:val="0037559C"/>
    <w:rsid w:val="003756E7"/>
    <w:rsid w:val="00375934"/>
    <w:rsid w:val="00375B97"/>
    <w:rsid w:val="00375E09"/>
    <w:rsid w:val="00376722"/>
    <w:rsid w:val="00376860"/>
    <w:rsid w:val="00376DA4"/>
    <w:rsid w:val="00376EB8"/>
    <w:rsid w:val="00377445"/>
    <w:rsid w:val="0037749E"/>
    <w:rsid w:val="0037767C"/>
    <w:rsid w:val="003804D4"/>
    <w:rsid w:val="0038071E"/>
    <w:rsid w:val="00381531"/>
    <w:rsid w:val="00381ADE"/>
    <w:rsid w:val="00381B1F"/>
    <w:rsid w:val="003821C3"/>
    <w:rsid w:val="0038241D"/>
    <w:rsid w:val="00382EA2"/>
    <w:rsid w:val="00383390"/>
    <w:rsid w:val="00383546"/>
    <w:rsid w:val="003837E6"/>
    <w:rsid w:val="00383A22"/>
    <w:rsid w:val="00383B1B"/>
    <w:rsid w:val="0038442E"/>
    <w:rsid w:val="0038491D"/>
    <w:rsid w:val="00384954"/>
    <w:rsid w:val="00385032"/>
    <w:rsid w:val="003852B4"/>
    <w:rsid w:val="00385393"/>
    <w:rsid w:val="00385C46"/>
    <w:rsid w:val="00385F5B"/>
    <w:rsid w:val="003860A0"/>
    <w:rsid w:val="0038674A"/>
    <w:rsid w:val="003867A9"/>
    <w:rsid w:val="003869F2"/>
    <w:rsid w:val="00386D5C"/>
    <w:rsid w:val="0038712F"/>
    <w:rsid w:val="00387906"/>
    <w:rsid w:val="00387D7B"/>
    <w:rsid w:val="00387EE9"/>
    <w:rsid w:val="003901C1"/>
    <w:rsid w:val="0039055E"/>
    <w:rsid w:val="003905C2"/>
    <w:rsid w:val="00390D47"/>
    <w:rsid w:val="003915B4"/>
    <w:rsid w:val="00391D9E"/>
    <w:rsid w:val="00391E1B"/>
    <w:rsid w:val="00391FAB"/>
    <w:rsid w:val="0039212E"/>
    <w:rsid w:val="003921B1"/>
    <w:rsid w:val="003922D4"/>
    <w:rsid w:val="00392560"/>
    <w:rsid w:val="0039274A"/>
    <w:rsid w:val="00392E14"/>
    <w:rsid w:val="00392EFC"/>
    <w:rsid w:val="00392F7D"/>
    <w:rsid w:val="00393089"/>
    <w:rsid w:val="003933D0"/>
    <w:rsid w:val="0039378C"/>
    <w:rsid w:val="003938F5"/>
    <w:rsid w:val="00394199"/>
    <w:rsid w:val="00394356"/>
    <w:rsid w:val="00394A73"/>
    <w:rsid w:val="00394D03"/>
    <w:rsid w:val="00394E51"/>
    <w:rsid w:val="00394F02"/>
    <w:rsid w:val="0039528B"/>
    <w:rsid w:val="00395C68"/>
    <w:rsid w:val="00395E6D"/>
    <w:rsid w:val="00396551"/>
    <w:rsid w:val="00396F27"/>
    <w:rsid w:val="00396F41"/>
    <w:rsid w:val="00397613"/>
    <w:rsid w:val="003978A2"/>
    <w:rsid w:val="00397C60"/>
    <w:rsid w:val="003A01A3"/>
    <w:rsid w:val="003A0377"/>
    <w:rsid w:val="003A1652"/>
    <w:rsid w:val="003A19D4"/>
    <w:rsid w:val="003A1F8E"/>
    <w:rsid w:val="003A269F"/>
    <w:rsid w:val="003A2ED7"/>
    <w:rsid w:val="003A3441"/>
    <w:rsid w:val="003A3978"/>
    <w:rsid w:val="003A3F04"/>
    <w:rsid w:val="003A4A8D"/>
    <w:rsid w:val="003A4E00"/>
    <w:rsid w:val="003A4F54"/>
    <w:rsid w:val="003A513F"/>
    <w:rsid w:val="003A5227"/>
    <w:rsid w:val="003A571A"/>
    <w:rsid w:val="003A5873"/>
    <w:rsid w:val="003A59A6"/>
    <w:rsid w:val="003A5DEF"/>
    <w:rsid w:val="003A5F09"/>
    <w:rsid w:val="003A6040"/>
    <w:rsid w:val="003A6568"/>
    <w:rsid w:val="003A6818"/>
    <w:rsid w:val="003A68D1"/>
    <w:rsid w:val="003A6BCC"/>
    <w:rsid w:val="003A7DEE"/>
    <w:rsid w:val="003B01F2"/>
    <w:rsid w:val="003B0573"/>
    <w:rsid w:val="003B06D3"/>
    <w:rsid w:val="003B070D"/>
    <w:rsid w:val="003B0AC5"/>
    <w:rsid w:val="003B0D4F"/>
    <w:rsid w:val="003B0DAC"/>
    <w:rsid w:val="003B0E1C"/>
    <w:rsid w:val="003B14E5"/>
    <w:rsid w:val="003B2681"/>
    <w:rsid w:val="003B2CEC"/>
    <w:rsid w:val="003B32FB"/>
    <w:rsid w:val="003B399B"/>
    <w:rsid w:val="003B3B33"/>
    <w:rsid w:val="003B3C11"/>
    <w:rsid w:val="003B3F62"/>
    <w:rsid w:val="003B4544"/>
    <w:rsid w:val="003B482F"/>
    <w:rsid w:val="003B483F"/>
    <w:rsid w:val="003B5033"/>
    <w:rsid w:val="003B542C"/>
    <w:rsid w:val="003B552B"/>
    <w:rsid w:val="003B7137"/>
    <w:rsid w:val="003B7AD2"/>
    <w:rsid w:val="003B7F53"/>
    <w:rsid w:val="003C04A8"/>
    <w:rsid w:val="003C09CF"/>
    <w:rsid w:val="003C1178"/>
    <w:rsid w:val="003C1668"/>
    <w:rsid w:val="003C1862"/>
    <w:rsid w:val="003C1905"/>
    <w:rsid w:val="003C283F"/>
    <w:rsid w:val="003C2C2C"/>
    <w:rsid w:val="003C3245"/>
    <w:rsid w:val="003C3282"/>
    <w:rsid w:val="003C344F"/>
    <w:rsid w:val="003C383B"/>
    <w:rsid w:val="003C3979"/>
    <w:rsid w:val="003C3BF7"/>
    <w:rsid w:val="003C4AB6"/>
    <w:rsid w:val="003C58BD"/>
    <w:rsid w:val="003C5ABD"/>
    <w:rsid w:val="003C5F99"/>
    <w:rsid w:val="003C6407"/>
    <w:rsid w:val="003C64C5"/>
    <w:rsid w:val="003C675D"/>
    <w:rsid w:val="003C68EF"/>
    <w:rsid w:val="003C6BE6"/>
    <w:rsid w:val="003C7009"/>
    <w:rsid w:val="003C7918"/>
    <w:rsid w:val="003C7BEE"/>
    <w:rsid w:val="003D0C09"/>
    <w:rsid w:val="003D12EA"/>
    <w:rsid w:val="003D1450"/>
    <w:rsid w:val="003D14AB"/>
    <w:rsid w:val="003D15C5"/>
    <w:rsid w:val="003D1840"/>
    <w:rsid w:val="003D1DD7"/>
    <w:rsid w:val="003D2020"/>
    <w:rsid w:val="003D2148"/>
    <w:rsid w:val="003D21C7"/>
    <w:rsid w:val="003D29AD"/>
    <w:rsid w:val="003D2AD2"/>
    <w:rsid w:val="003D2D44"/>
    <w:rsid w:val="003D2D8D"/>
    <w:rsid w:val="003D365D"/>
    <w:rsid w:val="003D37B0"/>
    <w:rsid w:val="003D3802"/>
    <w:rsid w:val="003D3B73"/>
    <w:rsid w:val="003D412B"/>
    <w:rsid w:val="003D4259"/>
    <w:rsid w:val="003D4B98"/>
    <w:rsid w:val="003D4BEF"/>
    <w:rsid w:val="003D4F1F"/>
    <w:rsid w:val="003D5438"/>
    <w:rsid w:val="003D56BB"/>
    <w:rsid w:val="003D598D"/>
    <w:rsid w:val="003D5F5B"/>
    <w:rsid w:val="003D6197"/>
    <w:rsid w:val="003D67CE"/>
    <w:rsid w:val="003D70AD"/>
    <w:rsid w:val="003D7471"/>
    <w:rsid w:val="003D7622"/>
    <w:rsid w:val="003D7AAC"/>
    <w:rsid w:val="003D7CD0"/>
    <w:rsid w:val="003D7D72"/>
    <w:rsid w:val="003E0546"/>
    <w:rsid w:val="003E10E3"/>
    <w:rsid w:val="003E1285"/>
    <w:rsid w:val="003E1493"/>
    <w:rsid w:val="003E17E1"/>
    <w:rsid w:val="003E2134"/>
    <w:rsid w:val="003E22E0"/>
    <w:rsid w:val="003E3772"/>
    <w:rsid w:val="003E3884"/>
    <w:rsid w:val="003E3F40"/>
    <w:rsid w:val="003E3F6B"/>
    <w:rsid w:val="003E46B9"/>
    <w:rsid w:val="003E46C7"/>
    <w:rsid w:val="003E4BF1"/>
    <w:rsid w:val="003E4C7A"/>
    <w:rsid w:val="003E4D09"/>
    <w:rsid w:val="003E4FA7"/>
    <w:rsid w:val="003E5088"/>
    <w:rsid w:val="003E5576"/>
    <w:rsid w:val="003E5764"/>
    <w:rsid w:val="003E5A25"/>
    <w:rsid w:val="003E5DB0"/>
    <w:rsid w:val="003E6633"/>
    <w:rsid w:val="003E686A"/>
    <w:rsid w:val="003E6CE0"/>
    <w:rsid w:val="003E6F0B"/>
    <w:rsid w:val="003E75E3"/>
    <w:rsid w:val="003F002D"/>
    <w:rsid w:val="003F0D00"/>
    <w:rsid w:val="003F0D62"/>
    <w:rsid w:val="003F1399"/>
    <w:rsid w:val="003F14A7"/>
    <w:rsid w:val="003F1D34"/>
    <w:rsid w:val="003F1DF2"/>
    <w:rsid w:val="003F1E9F"/>
    <w:rsid w:val="003F206B"/>
    <w:rsid w:val="003F23F7"/>
    <w:rsid w:val="003F307C"/>
    <w:rsid w:val="003F33E4"/>
    <w:rsid w:val="003F3829"/>
    <w:rsid w:val="003F3BCF"/>
    <w:rsid w:val="003F3F29"/>
    <w:rsid w:val="003F539E"/>
    <w:rsid w:val="003F53ED"/>
    <w:rsid w:val="003F615B"/>
    <w:rsid w:val="003F6211"/>
    <w:rsid w:val="003F65F7"/>
    <w:rsid w:val="003F6777"/>
    <w:rsid w:val="003F67CA"/>
    <w:rsid w:val="003F6B6A"/>
    <w:rsid w:val="003F6D17"/>
    <w:rsid w:val="003F6EF3"/>
    <w:rsid w:val="003F7678"/>
    <w:rsid w:val="00400C42"/>
    <w:rsid w:val="0040102D"/>
    <w:rsid w:val="00401CA9"/>
    <w:rsid w:val="00401D63"/>
    <w:rsid w:val="004022C0"/>
    <w:rsid w:val="00402336"/>
    <w:rsid w:val="00402C12"/>
    <w:rsid w:val="004030F3"/>
    <w:rsid w:val="00403185"/>
    <w:rsid w:val="00403674"/>
    <w:rsid w:val="0040424D"/>
    <w:rsid w:val="004048FF"/>
    <w:rsid w:val="00404EEB"/>
    <w:rsid w:val="00405559"/>
    <w:rsid w:val="00405C06"/>
    <w:rsid w:val="0040653E"/>
    <w:rsid w:val="00406553"/>
    <w:rsid w:val="004069D3"/>
    <w:rsid w:val="00406AFB"/>
    <w:rsid w:val="004072AF"/>
    <w:rsid w:val="00407EDC"/>
    <w:rsid w:val="0041059D"/>
    <w:rsid w:val="00410F8B"/>
    <w:rsid w:val="004110CA"/>
    <w:rsid w:val="0041214A"/>
    <w:rsid w:val="0041223C"/>
    <w:rsid w:val="00412272"/>
    <w:rsid w:val="00412508"/>
    <w:rsid w:val="004126E0"/>
    <w:rsid w:val="004127AE"/>
    <w:rsid w:val="00412A11"/>
    <w:rsid w:val="00412B44"/>
    <w:rsid w:val="00412EEF"/>
    <w:rsid w:val="00413B97"/>
    <w:rsid w:val="00414783"/>
    <w:rsid w:val="00414AF9"/>
    <w:rsid w:val="00415045"/>
    <w:rsid w:val="00415306"/>
    <w:rsid w:val="004155C9"/>
    <w:rsid w:val="00415B08"/>
    <w:rsid w:val="00415F78"/>
    <w:rsid w:val="004164AF"/>
    <w:rsid w:val="004167B7"/>
    <w:rsid w:val="00416DD7"/>
    <w:rsid w:val="004178F0"/>
    <w:rsid w:val="00417A66"/>
    <w:rsid w:val="00417C55"/>
    <w:rsid w:val="00417E3C"/>
    <w:rsid w:val="00417FBA"/>
    <w:rsid w:val="00420008"/>
    <w:rsid w:val="004208AD"/>
    <w:rsid w:val="004219B1"/>
    <w:rsid w:val="00421CDC"/>
    <w:rsid w:val="0042207B"/>
    <w:rsid w:val="004225CF"/>
    <w:rsid w:val="00422BCF"/>
    <w:rsid w:val="00422E30"/>
    <w:rsid w:val="0042313E"/>
    <w:rsid w:val="00423423"/>
    <w:rsid w:val="00423537"/>
    <w:rsid w:val="004236D7"/>
    <w:rsid w:val="004239B1"/>
    <w:rsid w:val="004239E5"/>
    <w:rsid w:val="00423C92"/>
    <w:rsid w:val="00423D39"/>
    <w:rsid w:val="00423FCD"/>
    <w:rsid w:val="004249E6"/>
    <w:rsid w:val="00424E16"/>
    <w:rsid w:val="00426E70"/>
    <w:rsid w:val="004305E8"/>
    <w:rsid w:val="00430763"/>
    <w:rsid w:val="004310C2"/>
    <w:rsid w:val="004325A4"/>
    <w:rsid w:val="0043284A"/>
    <w:rsid w:val="00432ACC"/>
    <w:rsid w:val="00432D78"/>
    <w:rsid w:val="00433159"/>
    <w:rsid w:val="00433901"/>
    <w:rsid w:val="00433B4D"/>
    <w:rsid w:val="00433C7F"/>
    <w:rsid w:val="00433CB9"/>
    <w:rsid w:val="0043431E"/>
    <w:rsid w:val="004347DC"/>
    <w:rsid w:val="00434C7E"/>
    <w:rsid w:val="00435A02"/>
    <w:rsid w:val="004366F6"/>
    <w:rsid w:val="00436B34"/>
    <w:rsid w:val="00436E58"/>
    <w:rsid w:val="00437318"/>
    <w:rsid w:val="00437438"/>
    <w:rsid w:val="004400F3"/>
    <w:rsid w:val="00440296"/>
    <w:rsid w:val="00440463"/>
    <w:rsid w:val="00440A2E"/>
    <w:rsid w:val="004410D6"/>
    <w:rsid w:val="004413E5"/>
    <w:rsid w:val="00441D94"/>
    <w:rsid w:val="00443527"/>
    <w:rsid w:val="0044399F"/>
    <w:rsid w:val="00444B14"/>
    <w:rsid w:val="004466BA"/>
    <w:rsid w:val="00446ABA"/>
    <w:rsid w:val="004479F2"/>
    <w:rsid w:val="00447D2D"/>
    <w:rsid w:val="00447F9C"/>
    <w:rsid w:val="0045091E"/>
    <w:rsid w:val="00450D22"/>
    <w:rsid w:val="004517D7"/>
    <w:rsid w:val="004517E1"/>
    <w:rsid w:val="004518D6"/>
    <w:rsid w:val="00451A97"/>
    <w:rsid w:val="00451E15"/>
    <w:rsid w:val="00451EA2"/>
    <w:rsid w:val="00452906"/>
    <w:rsid w:val="00452B50"/>
    <w:rsid w:val="00452C4D"/>
    <w:rsid w:val="0045366D"/>
    <w:rsid w:val="00453B30"/>
    <w:rsid w:val="00453C04"/>
    <w:rsid w:val="004547BE"/>
    <w:rsid w:val="004559B8"/>
    <w:rsid w:val="00455B64"/>
    <w:rsid w:val="00456160"/>
    <w:rsid w:val="004566B2"/>
    <w:rsid w:val="00456DA7"/>
    <w:rsid w:val="004572B6"/>
    <w:rsid w:val="004574B4"/>
    <w:rsid w:val="00457E4A"/>
    <w:rsid w:val="00460CF3"/>
    <w:rsid w:val="00460D37"/>
    <w:rsid w:val="0046133C"/>
    <w:rsid w:val="004613C1"/>
    <w:rsid w:val="00461679"/>
    <w:rsid w:val="004616DB"/>
    <w:rsid w:val="004616FC"/>
    <w:rsid w:val="004628C2"/>
    <w:rsid w:val="00462B26"/>
    <w:rsid w:val="00463051"/>
    <w:rsid w:val="0046321D"/>
    <w:rsid w:val="00463E3E"/>
    <w:rsid w:val="0046474B"/>
    <w:rsid w:val="004647A2"/>
    <w:rsid w:val="0046485C"/>
    <w:rsid w:val="004648B2"/>
    <w:rsid w:val="00464D05"/>
    <w:rsid w:val="0046547C"/>
    <w:rsid w:val="004658AE"/>
    <w:rsid w:val="00466762"/>
    <w:rsid w:val="00467359"/>
    <w:rsid w:val="00467977"/>
    <w:rsid w:val="00467E2A"/>
    <w:rsid w:val="00467FD4"/>
    <w:rsid w:val="004701B7"/>
    <w:rsid w:val="0047035A"/>
    <w:rsid w:val="00470663"/>
    <w:rsid w:val="00470A3F"/>
    <w:rsid w:val="00470AF5"/>
    <w:rsid w:val="00470E80"/>
    <w:rsid w:val="00470F1A"/>
    <w:rsid w:val="00471022"/>
    <w:rsid w:val="00471326"/>
    <w:rsid w:val="004714D5"/>
    <w:rsid w:val="004716C5"/>
    <w:rsid w:val="00471852"/>
    <w:rsid w:val="00471D34"/>
    <w:rsid w:val="00471D6B"/>
    <w:rsid w:val="00471DAD"/>
    <w:rsid w:val="00471EDA"/>
    <w:rsid w:val="00472203"/>
    <w:rsid w:val="0047254E"/>
    <w:rsid w:val="004725A3"/>
    <w:rsid w:val="00472F31"/>
    <w:rsid w:val="00473721"/>
    <w:rsid w:val="00473D78"/>
    <w:rsid w:val="00474137"/>
    <w:rsid w:val="00474143"/>
    <w:rsid w:val="004741AB"/>
    <w:rsid w:val="004747FD"/>
    <w:rsid w:val="00474829"/>
    <w:rsid w:val="00474C3D"/>
    <w:rsid w:val="00475844"/>
    <w:rsid w:val="00475A11"/>
    <w:rsid w:val="00475CCF"/>
    <w:rsid w:val="00476076"/>
    <w:rsid w:val="00476209"/>
    <w:rsid w:val="00476548"/>
    <w:rsid w:val="00476857"/>
    <w:rsid w:val="004775FD"/>
    <w:rsid w:val="00477AD9"/>
    <w:rsid w:val="00480084"/>
    <w:rsid w:val="004806F8"/>
    <w:rsid w:val="0048089D"/>
    <w:rsid w:val="00481167"/>
    <w:rsid w:val="00481458"/>
    <w:rsid w:val="00481678"/>
    <w:rsid w:val="004817A0"/>
    <w:rsid w:val="004818F6"/>
    <w:rsid w:val="00481A74"/>
    <w:rsid w:val="00481A7B"/>
    <w:rsid w:val="00481A7F"/>
    <w:rsid w:val="004821C6"/>
    <w:rsid w:val="00482429"/>
    <w:rsid w:val="00482440"/>
    <w:rsid w:val="004829C9"/>
    <w:rsid w:val="0048326B"/>
    <w:rsid w:val="00483615"/>
    <w:rsid w:val="004848D8"/>
    <w:rsid w:val="00484983"/>
    <w:rsid w:val="00484D47"/>
    <w:rsid w:val="004853D5"/>
    <w:rsid w:val="004856D7"/>
    <w:rsid w:val="00485C0F"/>
    <w:rsid w:val="00486327"/>
    <w:rsid w:val="004874CA"/>
    <w:rsid w:val="00487C3E"/>
    <w:rsid w:val="00487CF7"/>
    <w:rsid w:val="00487E20"/>
    <w:rsid w:val="00487F5A"/>
    <w:rsid w:val="00487F90"/>
    <w:rsid w:val="00490084"/>
    <w:rsid w:val="0049046C"/>
    <w:rsid w:val="0049062D"/>
    <w:rsid w:val="0049082F"/>
    <w:rsid w:val="0049086E"/>
    <w:rsid w:val="00490AEC"/>
    <w:rsid w:val="00490B62"/>
    <w:rsid w:val="004910BB"/>
    <w:rsid w:val="0049120F"/>
    <w:rsid w:val="00491431"/>
    <w:rsid w:val="004915C2"/>
    <w:rsid w:val="00491640"/>
    <w:rsid w:val="004918FA"/>
    <w:rsid w:val="00491A82"/>
    <w:rsid w:val="00491EAF"/>
    <w:rsid w:val="00492035"/>
    <w:rsid w:val="00492186"/>
    <w:rsid w:val="00492B88"/>
    <w:rsid w:val="0049323F"/>
    <w:rsid w:val="0049343A"/>
    <w:rsid w:val="00493738"/>
    <w:rsid w:val="00493814"/>
    <w:rsid w:val="004938D8"/>
    <w:rsid w:val="00495062"/>
    <w:rsid w:val="004956BD"/>
    <w:rsid w:val="00495C29"/>
    <w:rsid w:val="00495C62"/>
    <w:rsid w:val="00495D1A"/>
    <w:rsid w:val="00496A1A"/>
    <w:rsid w:val="00496CCE"/>
    <w:rsid w:val="00496E0C"/>
    <w:rsid w:val="0049752E"/>
    <w:rsid w:val="004A0013"/>
    <w:rsid w:val="004A03AF"/>
    <w:rsid w:val="004A0CB8"/>
    <w:rsid w:val="004A0FB7"/>
    <w:rsid w:val="004A1E01"/>
    <w:rsid w:val="004A2036"/>
    <w:rsid w:val="004A3C3C"/>
    <w:rsid w:val="004A3CAF"/>
    <w:rsid w:val="004A406B"/>
    <w:rsid w:val="004A40D8"/>
    <w:rsid w:val="004A4343"/>
    <w:rsid w:val="004A59DF"/>
    <w:rsid w:val="004A5C4F"/>
    <w:rsid w:val="004A5EB8"/>
    <w:rsid w:val="004A63BE"/>
    <w:rsid w:val="004A665D"/>
    <w:rsid w:val="004A6CED"/>
    <w:rsid w:val="004A6EFE"/>
    <w:rsid w:val="004A7883"/>
    <w:rsid w:val="004A7BD4"/>
    <w:rsid w:val="004A7C0D"/>
    <w:rsid w:val="004B0060"/>
    <w:rsid w:val="004B0A60"/>
    <w:rsid w:val="004B0BE5"/>
    <w:rsid w:val="004B1954"/>
    <w:rsid w:val="004B1D08"/>
    <w:rsid w:val="004B1F53"/>
    <w:rsid w:val="004B2137"/>
    <w:rsid w:val="004B25C2"/>
    <w:rsid w:val="004B27C0"/>
    <w:rsid w:val="004B3009"/>
    <w:rsid w:val="004B3139"/>
    <w:rsid w:val="004B3A8A"/>
    <w:rsid w:val="004B3CF5"/>
    <w:rsid w:val="004B437A"/>
    <w:rsid w:val="004B451E"/>
    <w:rsid w:val="004B4886"/>
    <w:rsid w:val="004B4B1F"/>
    <w:rsid w:val="004B4DE0"/>
    <w:rsid w:val="004B50CE"/>
    <w:rsid w:val="004B5101"/>
    <w:rsid w:val="004B535F"/>
    <w:rsid w:val="004B54F1"/>
    <w:rsid w:val="004B5BF3"/>
    <w:rsid w:val="004B63C5"/>
    <w:rsid w:val="004B689D"/>
    <w:rsid w:val="004B69FA"/>
    <w:rsid w:val="004B6D9B"/>
    <w:rsid w:val="004B6EA6"/>
    <w:rsid w:val="004B72CD"/>
    <w:rsid w:val="004B7396"/>
    <w:rsid w:val="004B7943"/>
    <w:rsid w:val="004B7E2A"/>
    <w:rsid w:val="004C0056"/>
    <w:rsid w:val="004C0602"/>
    <w:rsid w:val="004C06EE"/>
    <w:rsid w:val="004C0D9E"/>
    <w:rsid w:val="004C14AB"/>
    <w:rsid w:val="004C1570"/>
    <w:rsid w:val="004C15CD"/>
    <w:rsid w:val="004C1B16"/>
    <w:rsid w:val="004C1B56"/>
    <w:rsid w:val="004C205B"/>
    <w:rsid w:val="004C226A"/>
    <w:rsid w:val="004C3242"/>
    <w:rsid w:val="004C371E"/>
    <w:rsid w:val="004C3BD2"/>
    <w:rsid w:val="004C3FE2"/>
    <w:rsid w:val="004C4446"/>
    <w:rsid w:val="004C4585"/>
    <w:rsid w:val="004C4AFB"/>
    <w:rsid w:val="004C516A"/>
    <w:rsid w:val="004C671C"/>
    <w:rsid w:val="004C6805"/>
    <w:rsid w:val="004C6E0E"/>
    <w:rsid w:val="004C6E4F"/>
    <w:rsid w:val="004C701F"/>
    <w:rsid w:val="004C7B0D"/>
    <w:rsid w:val="004C7BB8"/>
    <w:rsid w:val="004C7D1A"/>
    <w:rsid w:val="004D0203"/>
    <w:rsid w:val="004D132E"/>
    <w:rsid w:val="004D15B7"/>
    <w:rsid w:val="004D15D3"/>
    <w:rsid w:val="004D1799"/>
    <w:rsid w:val="004D196B"/>
    <w:rsid w:val="004D1A1E"/>
    <w:rsid w:val="004D1BF2"/>
    <w:rsid w:val="004D208C"/>
    <w:rsid w:val="004D209A"/>
    <w:rsid w:val="004D24AE"/>
    <w:rsid w:val="004D2738"/>
    <w:rsid w:val="004D296C"/>
    <w:rsid w:val="004D3B54"/>
    <w:rsid w:val="004D3BF9"/>
    <w:rsid w:val="004D40C9"/>
    <w:rsid w:val="004D414F"/>
    <w:rsid w:val="004D4206"/>
    <w:rsid w:val="004D42D0"/>
    <w:rsid w:val="004D4750"/>
    <w:rsid w:val="004D4773"/>
    <w:rsid w:val="004D4D63"/>
    <w:rsid w:val="004D4ECB"/>
    <w:rsid w:val="004D514E"/>
    <w:rsid w:val="004D5234"/>
    <w:rsid w:val="004D5402"/>
    <w:rsid w:val="004D54BB"/>
    <w:rsid w:val="004D566F"/>
    <w:rsid w:val="004D57E5"/>
    <w:rsid w:val="004D58CE"/>
    <w:rsid w:val="004D5B51"/>
    <w:rsid w:val="004D6251"/>
    <w:rsid w:val="004D62AE"/>
    <w:rsid w:val="004D6C0C"/>
    <w:rsid w:val="004D6D3F"/>
    <w:rsid w:val="004D6EA1"/>
    <w:rsid w:val="004D7950"/>
    <w:rsid w:val="004D7BAF"/>
    <w:rsid w:val="004D7E97"/>
    <w:rsid w:val="004E08BF"/>
    <w:rsid w:val="004E10E8"/>
    <w:rsid w:val="004E113C"/>
    <w:rsid w:val="004E1CE5"/>
    <w:rsid w:val="004E29B0"/>
    <w:rsid w:val="004E2A73"/>
    <w:rsid w:val="004E2C1D"/>
    <w:rsid w:val="004E300C"/>
    <w:rsid w:val="004E3053"/>
    <w:rsid w:val="004E32FA"/>
    <w:rsid w:val="004E3400"/>
    <w:rsid w:val="004E37A1"/>
    <w:rsid w:val="004E44FD"/>
    <w:rsid w:val="004E4BB3"/>
    <w:rsid w:val="004E4C10"/>
    <w:rsid w:val="004E53C6"/>
    <w:rsid w:val="004E54F5"/>
    <w:rsid w:val="004E62F0"/>
    <w:rsid w:val="004E64E1"/>
    <w:rsid w:val="004E6A04"/>
    <w:rsid w:val="004E6ECB"/>
    <w:rsid w:val="004E6EFE"/>
    <w:rsid w:val="004E71A3"/>
    <w:rsid w:val="004E7665"/>
    <w:rsid w:val="004E770F"/>
    <w:rsid w:val="004E7A7A"/>
    <w:rsid w:val="004E7AEB"/>
    <w:rsid w:val="004E7B7D"/>
    <w:rsid w:val="004E7DB1"/>
    <w:rsid w:val="004F0D8D"/>
    <w:rsid w:val="004F0E15"/>
    <w:rsid w:val="004F0E38"/>
    <w:rsid w:val="004F1517"/>
    <w:rsid w:val="004F15B1"/>
    <w:rsid w:val="004F19D7"/>
    <w:rsid w:val="004F2678"/>
    <w:rsid w:val="004F2D50"/>
    <w:rsid w:val="004F2E2A"/>
    <w:rsid w:val="004F3268"/>
    <w:rsid w:val="004F343D"/>
    <w:rsid w:val="004F358F"/>
    <w:rsid w:val="004F4107"/>
    <w:rsid w:val="004F44D8"/>
    <w:rsid w:val="004F45FA"/>
    <w:rsid w:val="004F4EF2"/>
    <w:rsid w:val="004F4FC1"/>
    <w:rsid w:val="004F5354"/>
    <w:rsid w:val="004F5F29"/>
    <w:rsid w:val="004F62DB"/>
    <w:rsid w:val="004F6507"/>
    <w:rsid w:val="004F6956"/>
    <w:rsid w:val="004F6FDB"/>
    <w:rsid w:val="004F722F"/>
    <w:rsid w:val="004F7409"/>
    <w:rsid w:val="0050007E"/>
    <w:rsid w:val="005006E5"/>
    <w:rsid w:val="0050082E"/>
    <w:rsid w:val="00500D17"/>
    <w:rsid w:val="005011E6"/>
    <w:rsid w:val="00501327"/>
    <w:rsid w:val="0050148F"/>
    <w:rsid w:val="005017C1"/>
    <w:rsid w:val="00501B1E"/>
    <w:rsid w:val="00502014"/>
    <w:rsid w:val="0050227D"/>
    <w:rsid w:val="00502738"/>
    <w:rsid w:val="005027FD"/>
    <w:rsid w:val="0050280D"/>
    <w:rsid w:val="00502F4B"/>
    <w:rsid w:val="00503378"/>
    <w:rsid w:val="00503845"/>
    <w:rsid w:val="00504275"/>
    <w:rsid w:val="00504CBF"/>
    <w:rsid w:val="005050FB"/>
    <w:rsid w:val="005053B0"/>
    <w:rsid w:val="0050547F"/>
    <w:rsid w:val="005056B9"/>
    <w:rsid w:val="00505C10"/>
    <w:rsid w:val="00505F85"/>
    <w:rsid w:val="0050683C"/>
    <w:rsid w:val="00506AA0"/>
    <w:rsid w:val="00507144"/>
    <w:rsid w:val="00507327"/>
    <w:rsid w:val="0050734A"/>
    <w:rsid w:val="005075CE"/>
    <w:rsid w:val="005076A9"/>
    <w:rsid w:val="00507F0F"/>
    <w:rsid w:val="0051057D"/>
    <w:rsid w:val="005107C7"/>
    <w:rsid w:val="0051110F"/>
    <w:rsid w:val="0051149E"/>
    <w:rsid w:val="0051156F"/>
    <w:rsid w:val="00511650"/>
    <w:rsid w:val="00511A27"/>
    <w:rsid w:val="00512444"/>
    <w:rsid w:val="00512510"/>
    <w:rsid w:val="00512AB0"/>
    <w:rsid w:val="00512D4E"/>
    <w:rsid w:val="0051401A"/>
    <w:rsid w:val="00514907"/>
    <w:rsid w:val="0051568B"/>
    <w:rsid w:val="00515784"/>
    <w:rsid w:val="005157AA"/>
    <w:rsid w:val="00515DE7"/>
    <w:rsid w:val="00516C7A"/>
    <w:rsid w:val="00516D65"/>
    <w:rsid w:val="00517EC0"/>
    <w:rsid w:val="0052028A"/>
    <w:rsid w:val="005202D6"/>
    <w:rsid w:val="0052054F"/>
    <w:rsid w:val="00520703"/>
    <w:rsid w:val="00520D71"/>
    <w:rsid w:val="005211CC"/>
    <w:rsid w:val="005212CF"/>
    <w:rsid w:val="00521553"/>
    <w:rsid w:val="005217AC"/>
    <w:rsid w:val="00521D17"/>
    <w:rsid w:val="00522277"/>
    <w:rsid w:val="005226A2"/>
    <w:rsid w:val="00522B71"/>
    <w:rsid w:val="0052360D"/>
    <w:rsid w:val="0052449D"/>
    <w:rsid w:val="005244A0"/>
    <w:rsid w:val="005249B1"/>
    <w:rsid w:val="00525943"/>
    <w:rsid w:val="00525F4D"/>
    <w:rsid w:val="005261DE"/>
    <w:rsid w:val="00526CE5"/>
    <w:rsid w:val="00527817"/>
    <w:rsid w:val="00527AA2"/>
    <w:rsid w:val="00527D3E"/>
    <w:rsid w:val="00527D81"/>
    <w:rsid w:val="005300F4"/>
    <w:rsid w:val="005303D8"/>
    <w:rsid w:val="00530A54"/>
    <w:rsid w:val="00530C4D"/>
    <w:rsid w:val="005317CF"/>
    <w:rsid w:val="0053204C"/>
    <w:rsid w:val="0053219B"/>
    <w:rsid w:val="00532B2B"/>
    <w:rsid w:val="00532E8C"/>
    <w:rsid w:val="00533307"/>
    <w:rsid w:val="005338E4"/>
    <w:rsid w:val="005350B9"/>
    <w:rsid w:val="005352C0"/>
    <w:rsid w:val="0053541F"/>
    <w:rsid w:val="00535C84"/>
    <w:rsid w:val="00535EF7"/>
    <w:rsid w:val="0053624C"/>
    <w:rsid w:val="005364A2"/>
    <w:rsid w:val="0053669D"/>
    <w:rsid w:val="00536778"/>
    <w:rsid w:val="0053703C"/>
    <w:rsid w:val="00537978"/>
    <w:rsid w:val="00537AEB"/>
    <w:rsid w:val="005406CD"/>
    <w:rsid w:val="00540FF4"/>
    <w:rsid w:val="00541739"/>
    <w:rsid w:val="00541920"/>
    <w:rsid w:val="00542205"/>
    <w:rsid w:val="0054277F"/>
    <w:rsid w:val="005429A2"/>
    <w:rsid w:val="00542CE1"/>
    <w:rsid w:val="0054352F"/>
    <w:rsid w:val="00543542"/>
    <w:rsid w:val="00543CEF"/>
    <w:rsid w:val="005443CD"/>
    <w:rsid w:val="005443FB"/>
    <w:rsid w:val="00544470"/>
    <w:rsid w:val="00544AB2"/>
    <w:rsid w:val="00544F1D"/>
    <w:rsid w:val="005452AA"/>
    <w:rsid w:val="00545E88"/>
    <w:rsid w:val="0054683C"/>
    <w:rsid w:val="00546AEE"/>
    <w:rsid w:val="00547066"/>
    <w:rsid w:val="005479C5"/>
    <w:rsid w:val="00550313"/>
    <w:rsid w:val="005505DB"/>
    <w:rsid w:val="005506E8"/>
    <w:rsid w:val="00550FAF"/>
    <w:rsid w:val="00551430"/>
    <w:rsid w:val="00551756"/>
    <w:rsid w:val="00551D61"/>
    <w:rsid w:val="00551FF8"/>
    <w:rsid w:val="005525C8"/>
    <w:rsid w:val="00552919"/>
    <w:rsid w:val="00552BF4"/>
    <w:rsid w:val="00552F4F"/>
    <w:rsid w:val="00552FB0"/>
    <w:rsid w:val="005535F8"/>
    <w:rsid w:val="00553740"/>
    <w:rsid w:val="005537AC"/>
    <w:rsid w:val="00554B76"/>
    <w:rsid w:val="00554DFF"/>
    <w:rsid w:val="00554E89"/>
    <w:rsid w:val="00555D28"/>
    <w:rsid w:val="00556408"/>
    <w:rsid w:val="00556E1F"/>
    <w:rsid w:val="0055700C"/>
    <w:rsid w:val="0055775F"/>
    <w:rsid w:val="00557CA5"/>
    <w:rsid w:val="005603CD"/>
    <w:rsid w:val="00560822"/>
    <w:rsid w:val="00560C29"/>
    <w:rsid w:val="005619D3"/>
    <w:rsid w:val="00561CD8"/>
    <w:rsid w:val="00561E2A"/>
    <w:rsid w:val="0056202B"/>
    <w:rsid w:val="005624A1"/>
    <w:rsid w:val="005626D1"/>
    <w:rsid w:val="00562B1A"/>
    <w:rsid w:val="0056320F"/>
    <w:rsid w:val="00563E66"/>
    <w:rsid w:val="00563F58"/>
    <w:rsid w:val="00564891"/>
    <w:rsid w:val="005648F7"/>
    <w:rsid w:val="00564CBC"/>
    <w:rsid w:val="00564E91"/>
    <w:rsid w:val="0056531C"/>
    <w:rsid w:val="0056580B"/>
    <w:rsid w:val="00566115"/>
    <w:rsid w:val="005664DF"/>
    <w:rsid w:val="0056661C"/>
    <w:rsid w:val="00566D19"/>
    <w:rsid w:val="00566E15"/>
    <w:rsid w:val="005702DF"/>
    <w:rsid w:val="00570B55"/>
    <w:rsid w:val="00570BCA"/>
    <w:rsid w:val="0057126A"/>
    <w:rsid w:val="005716AD"/>
    <w:rsid w:val="00571944"/>
    <w:rsid w:val="0057224D"/>
    <w:rsid w:val="00572296"/>
    <w:rsid w:val="00572312"/>
    <w:rsid w:val="00572E78"/>
    <w:rsid w:val="005734DF"/>
    <w:rsid w:val="00573522"/>
    <w:rsid w:val="005736BF"/>
    <w:rsid w:val="005739F7"/>
    <w:rsid w:val="00574211"/>
    <w:rsid w:val="0057447B"/>
    <w:rsid w:val="005754AA"/>
    <w:rsid w:val="00575949"/>
    <w:rsid w:val="00575B19"/>
    <w:rsid w:val="0057602B"/>
    <w:rsid w:val="00576768"/>
    <w:rsid w:val="00576781"/>
    <w:rsid w:val="0057682E"/>
    <w:rsid w:val="00576C3D"/>
    <w:rsid w:val="00576D36"/>
    <w:rsid w:val="00577378"/>
    <w:rsid w:val="005775B5"/>
    <w:rsid w:val="00577771"/>
    <w:rsid w:val="00577B7B"/>
    <w:rsid w:val="0058006A"/>
    <w:rsid w:val="00580228"/>
    <w:rsid w:val="00580D1B"/>
    <w:rsid w:val="0058130F"/>
    <w:rsid w:val="005814C3"/>
    <w:rsid w:val="005818A4"/>
    <w:rsid w:val="005818E6"/>
    <w:rsid w:val="005825B2"/>
    <w:rsid w:val="005829AA"/>
    <w:rsid w:val="00582B0B"/>
    <w:rsid w:val="00582D9A"/>
    <w:rsid w:val="00582ECF"/>
    <w:rsid w:val="005832EE"/>
    <w:rsid w:val="005834C2"/>
    <w:rsid w:val="005837C7"/>
    <w:rsid w:val="00584058"/>
    <w:rsid w:val="00584A12"/>
    <w:rsid w:val="00584BD3"/>
    <w:rsid w:val="00584E54"/>
    <w:rsid w:val="00585956"/>
    <w:rsid w:val="00585C3B"/>
    <w:rsid w:val="00585FF7"/>
    <w:rsid w:val="00586069"/>
    <w:rsid w:val="0058625A"/>
    <w:rsid w:val="005862A5"/>
    <w:rsid w:val="00586F21"/>
    <w:rsid w:val="005876C3"/>
    <w:rsid w:val="0058794D"/>
    <w:rsid w:val="00587D56"/>
    <w:rsid w:val="00587E12"/>
    <w:rsid w:val="00587E8D"/>
    <w:rsid w:val="00587F87"/>
    <w:rsid w:val="00590029"/>
    <w:rsid w:val="00590792"/>
    <w:rsid w:val="00590918"/>
    <w:rsid w:val="00590BCB"/>
    <w:rsid w:val="00590DCD"/>
    <w:rsid w:val="005912D3"/>
    <w:rsid w:val="00591786"/>
    <w:rsid w:val="005921FC"/>
    <w:rsid w:val="00592934"/>
    <w:rsid w:val="00592D56"/>
    <w:rsid w:val="00592E12"/>
    <w:rsid w:val="00593524"/>
    <w:rsid w:val="005936AE"/>
    <w:rsid w:val="005938E6"/>
    <w:rsid w:val="0059397A"/>
    <w:rsid w:val="005942C5"/>
    <w:rsid w:val="005944E2"/>
    <w:rsid w:val="0059459F"/>
    <w:rsid w:val="00594CBE"/>
    <w:rsid w:val="005951F4"/>
    <w:rsid w:val="00595611"/>
    <w:rsid w:val="00596568"/>
    <w:rsid w:val="005966D6"/>
    <w:rsid w:val="005968E0"/>
    <w:rsid w:val="00596ADD"/>
    <w:rsid w:val="00596C9B"/>
    <w:rsid w:val="005A06F7"/>
    <w:rsid w:val="005A0EE1"/>
    <w:rsid w:val="005A0F74"/>
    <w:rsid w:val="005A1208"/>
    <w:rsid w:val="005A13FD"/>
    <w:rsid w:val="005A1771"/>
    <w:rsid w:val="005A1A85"/>
    <w:rsid w:val="005A1A89"/>
    <w:rsid w:val="005A1BBA"/>
    <w:rsid w:val="005A1FAD"/>
    <w:rsid w:val="005A23D1"/>
    <w:rsid w:val="005A2641"/>
    <w:rsid w:val="005A2A57"/>
    <w:rsid w:val="005A2AFD"/>
    <w:rsid w:val="005A2E93"/>
    <w:rsid w:val="005A300B"/>
    <w:rsid w:val="005A30B9"/>
    <w:rsid w:val="005A35EC"/>
    <w:rsid w:val="005A3C35"/>
    <w:rsid w:val="005A4023"/>
    <w:rsid w:val="005A4311"/>
    <w:rsid w:val="005A4BF6"/>
    <w:rsid w:val="005A4E43"/>
    <w:rsid w:val="005A56C2"/>
    <w:rsid w:val="005A5A70"/>
    <w:rsid w:val="005A5B4A"/>
    <w:rsid w:val="005A5BFE"/>
    <w:rsid w:val="005A660E"/>
    <w:rsid w:val="005A6A33"/>
    <w:rsid w:val="005A6AF0"/>
    <w:rsid w:val="005A793F"/>
    <w:rsid w:val="005A79B1"/>
    <w:rsid w:val="005A7B9D"/>
    <w:rsid w:val="005A7C88"/>
    <w:rsid w:val="005A7CBD"/>
    <w:rsid w:val="005B0A01"/>
    <w:rsid w:val="005B0D07"/>
    <w:rsid w:val="005B135A"/>
    <w:rsid w:val="005B164C"/>
    <w:rsid w:val="005B2903"/>
    <w:rsid w:val="005B2C46"/>
    <w:rsid w:val="005B3652"/>
    <w:rsid w:val="005B3C61"/>
    <w:rsid w:val="005B43AB"/>
    <w:rsid w:val="005B5632"/>
    <w:rsid w:val="005B57FC"/>
    <w:rsid w:val="005B5876"/>
    <w:rsid w:val="005B5F1D"/>
    <w:rsid w:val="005B5FA7"/>
    <w:rsid w:val="005B6561"/>
    <w:rsid w:val="005B68A8"/>
    <w:rsid w:val="005B6E51"/>
    <w:rsid w:val="005B6F00"/>
    <w:rsid w:val="005B7DA5"/>
    <w:rsid w:val="005B7F44"/>
    <w:rsid w:val="005C0380"/>
    <w:rsid w:val="005C068E"/>
    <w:rsid w:val="005C0897"/>
    <w:rsid w:val="005C0BDC"/>
    <w:rsid w:val="005C0C43"/>
    <w:rsid w:val="005C1063"/>
    <w:rsid w:val="005C1501"/>
    <w:rsid w:val="005C28C9"/>
    <w:rsid w:val="005C2FCB"/>
    <w:rsid w:val="005C3557"/>
    <w:rsid w:val="005C382E"/>
    <w:rsid w:val="005C3F25"/>
    <w:rsid w:val="005C3F55"/>
    <w:rsid w:val="005C425A"/>
    <w:rsid w:val="005C446D"/>
    <w:rsid w:val="005C471A"/>
    <w:rsid w:val="005C473B"/>
    <w:rsid w:val="005C5227"/>
    <w:rsid w:val="005C6274"/>
    <w:rsid w:val="005C628F"/>
    <w:rsid w:val="005C6369"/>
    <w:rsid w:val="005C6993"/>
    <w:rsid w:val="005C6B2B"/>
    <w:rsid w:val="005C6E00"/>
    <w:rsid w:val="005C726F"/>
    <w:rsid w:val="005C72DE"/>
    <w:rsid w:val="005C74C2"/>
    <w:rsid w:val="005C76D2"/>
    <w:rsid w:val="005C7887"/>
    <w:rsid w:val="005C790C"/>
    <w:rsid w:val="005C7964"/>
    <w:rsid w:val="005C7E3F"/>
    <w:rsid w:val="005C7FC3"/>
    <w:rsid w:val="005D0795"/>
    <w:rsid w:val="005D0C3A"/>
    <w:rsid w:val="005D169E"/>
    <w:rsid w:val="005D1B45"/>
    <w:rsid w:val="005D1BB6"/>
    <w:rsid w:val="005D1F27"/>
    <w:rsid w:val="005D20A6"/>
    <w:rsid w:val="005D24D9"/>
    <w:rsid w:val="005D296E"/>
    <w:rsid w:val="005D2C1F"/>
    <w:rsid w:val="005D2D91"/>
    <w:rsid w:val="005D436C"/>
    <w:rsid w:val="005D4985"/>
    <w:rsid w:val="005D4C26"/>
    <w:rsid w:val="005D4FD5"/>
    <w:rsid w:val="005D5838"/>
    <w:rsid w:val="005D6092"/>
    <w:rsid w:val="005D6266"/>
    <w:rsid w:val="005D6B81"/>
    <w:rsid w:val="005D6D39"/>
    <w:rsid w:val="005D7098"/>
    <w:rsid w:val="005D71F9"/>
    <w:rsid w:val="005D7B41"/>
    <w:rsid w:val="005E0760"/>
    <w:rsid w:val="005E0DA8"/>
    <w:rsid w:val="005E13C1"/>
    <w:rsid w:val="005E207C"/>
    <w:rsid w:val="005E26F4"/>
    <w:rsid w:val="005E2771"/>
    <w:rsid w:val="005E28AA"/>
    <w:rsid w:val="005E2F65"/>
    <w:rsid w:val="005E3043"/>
    <w:rsid w:val="005E34E0"/>
    <w:rsid w:val="005E3DBD"/>
    <w:rsid w:val="005E4262"/>
    <w:rsid w:val="005E4A78"/>
    <w:rsid w:val="005E4A7B"/>
    <w:rsid w:val="005E4B01"/>
    <w:rsid w:val="005E4DB4"/>
    <w:rsid w:val="005E522A"/>
    <w:rsid w:val="005E58AE"/>
    <w:rsid w:val="005E5C83"/>
    <w:rsid w:val="005E5CFF"/>
    <w:rsid w:val="005E5E8E"/>
    <w:rsid w:val="005E6056"/>
    <w:rsid w:val="005E6BB2"/>
    <w:rsid w:val="005E6BE0"/>
    <w:rsid w:val="005E6D89"/>
    <w:rsid w:val="005E75A7"/>
    <w:rsid w:val="005E79B6"/>
    <w:rsid w:val="005E7E29"/>
    <w:rsid w:val="005F0221"/>
    <w:rsid w:val="005F0A82"/>
    <w:rsid w:val="005F0EFD"/>
    <w:rsid w:val="005F0FC8"/>
    <w:rsid w:val="005F1625"/>
    <w:rsid w:val="005F1A16"/>
    <w:rsid w:val="005F1D6B"/>
    <w:rsid w:val="005F1F52"/>
    <w:rsid w:val="005F229A"/>
    <w:rsid w:val="005F3798"/>
    <w:rsid w:val="005F381B"/>
    <w:rsid w:val="005F3969"/>
    <w:rsid w:val="005F3E14"/>
    <w:rsid w:val="005F3E67"/>
    <w:rsid w:val="005F4726"/>
    <w:rsid w:val="005F4BD9"/>
    <w:rsid w:val="005F4F2F"/>
    <w:rsid w:val="005F5510"/>
    <w:rsid w:val="005F55D8"/>
    <w:rsid w:val="005F573F"/>
    <w:rsid w:val="005F628F"/>
    <w:rsid w:val="005F66C8"/>
    <w:rsid w:val="005F678B"/>
    <w:rsid w:val="005F6A88"/>
    <w:rsid w:val="005F7468"/>
    <w:rsid w:val="005F767A"/>
    <w:rsid w:val="005F76AA"/>
    <w:rsid w:val="005F7CC0"/>
    <w:rsid w:val="00600005"/>
    <w:rsid w:val="006004FC"/>
    <w:rsid w:val="00601835"/>
    <w:rsid w:val="006018B0"/>
    <w:rsid w:val="00601A65"/>
    <w:rsid w:val="00601ACC"/>
    <w:rsid w:val="00601E18"/>
    <w:rsid w:val="00602025"/>
    <w:rsid w:val="006024BC"/>
    <w:rsid w:val="00602AE8"/>
    <w:rsid w:val="00603157"/>
    <w:rsid w:val="0060324A"/>
    <w:rsid w:val="006032B2"/>
    <w:rsid w:val="006036D0"/>
    <w:rsid w:val="0060387E"/>
    <w:rsid w:val="00603C0B"/>
    <w:rsid w:val="00603DA4"/>
    <w:rsid w:val="00603DAA"/>
    <w:rsid w:val="00604571"/>
    <w:rsid w:val="00604645"/>
    <w:rsid w:val="006047D0"/>
    <w:rsid w:val="00604837"/>
    <w:rsid w:val="00604BEA"/>
    <w:rsid w:val="00605503"/>
    <w:rsid w:val="00605DDF"/>
    <w:rsid w:val="00605EC9"/>
    <w:rsid w:val="006064DD"/>
    <w:rsid w:val="00606D4C"/>
    <w:rsid w:val="0060708A"/>
    <w:rsid w:val="006072A1"/>
    <w:rsid w:val="0060731F"/>
    <w:rsid w:val="00607469"/>
    <w:rsid w:val="006075F8"/>
    <w:rsid w:val="006078D6"/>
    <w:rsid w:val="006102BC"/>
    <w:rsid w:val="00610558"/>
    <w:rsid w:val="00610715"/>
    <w:rsid w:val="00610CB6"/>
    <w:rsid w:val="0061101D"/>
    <w:rsid w:val="00612981"/>
    <w:rsid w:val="00612E80"/>
    <w:rsid w:val="00612F87"/>
    <w:rsid w:val="006133EC"/>
    <w:rsid w:val="00613A31"/>
    <w:rsid w:val="00613CFA"/>
    <w:rsid w:val="00613ED2"/>
    <w:rsid w:val="0061455E"/>
    <w:rsid w:val="00614698"/>
    <w:rsid w:val="00614965"/>
    <w:rsid w:val="006150CE"/>
    <w:rsid w:val="00615559"/>
    <w:rsid w:val="00615982"/>
    <w:rsid w:val="00615B5B"/>
    <w:rsid w:val="00615CE8"/>
    <w:rsid w:val="00616A04"/>
    <w:rsid w:val="00616F4D"/>
    <w:rsid w:val="006172D8"/>
    <w:rsid w:val="0062041F"/>
    <w:rsid w:val="006206C2"/>
    <w:rsid w:val="0062079F"/>
    <w:rsid w:val="00620DBC"/>
    <w:rsid w:val="00620F5F"/>
    <w:rsid w:val="00621973"/>
    <w:rsid w:val="006219A8"/>
    <w:rsid w:val="006219AC"/>
    <w:rsid w:val="00621C3C"/>
    <w:rsid w:val="00621E3E"/>
    <w:rsid w:val="00621ED1"/>
    <w:rsid w:val="006220F5"/>
    <w:rsid w:val="00622CF2"/>
    <w:rsid w:val="0062301A"/>
    <w:rsid w:val="006233A0"/>
    <w:rsid w:val="00623A0F"/>
    <w:rsid w:val="00623BB1"/>
    <w:rsid w:val="006242C3"/>
    <w:rsid w:val="006249E2"/>
    <w:rsid w:val="00624B15"/>
    <w:rsid w:val="00624D90"/>
    <w:rsid w:val="0062509F"/>
    <w:rsid w:val="00625380"/>
    <w:rsid w:val="00625707"/>
    <w:rsid w:val="00625B0B"/>
    <w:rsid w:val="00625F61"/>
    <w:rsid w:val="00630DD9"/>
    <w:rsid w:val="006320D9"/>
    <w:rsid w:val="00632233"/>
    <w:rsid w:val="006334C4"/>
    <w:rsid w:val="006335F4"/>
    <w:rsid w:val="006337E1"/>
    <w:rsid w:val="00634444"/>
    <w:rsid w:val="006349B8"/>
    <w:rsid w:val="006351A6"/>
    <w:rsid w:val="006355E2"/>
    <w:rsid w:val="00635657"/>
    <w:rsid w:val="00635A3E"/>
    <w:rsid w:val="00636BC0"/>
    <w:rsid w:val="0063707E"/>
    <w:rsid w:val="00637970"/>
    <w:rsid w:val="00637B02"/>
    <w:rsid w:val="006406BB"/>
    <w:rsid w:val="00641B23"/>
    <w:rsid w:val="0064235D"/>
    <w:rsid w:val="00642A63"/>
    <w:rsid w:val="00643042"/>
    <w:rsid w:val="006432CD"/>
    <w:rsid w:val="00643A98"/>
    <w:rsid w:val="00643DCD"/>
    <w:rsid w:val="0064434A"/>
    <w:rsid w:val="006444DD"/>
    <w:rsid w:val="006446D6"/>
    <w:rsid w:val="00644815"/>
    <w:rsid w:val="00644AB8"/>
    <w:rsid w:val="00644B62"/>
    <w:rsid w:val="00644D3F"/>
    <w:rsid w:val="00644F1D"/>
    <w:rsid w:val="00645AFE"/>
    <w:rsid w:val="0064644A"/>
    <w:rsid w:val="00646B32"/>
    <w:rsid w:val="0064715C"/>
    <w:rsid w:val="00647990"/>
    <w:rsid w:val="006479BB"/>
    <w:rsid w:val="00647C20"/>
    <w:rsid w:val="00647CF0"/>
    <w:rsid w:val="00650156"/>
    <w:rsid w:val="0065032D"/>
    <w:rsid w:val="00650959"/>
    <w:rsid w:val="00650AC0"/>
    <w:rsid w:val="00650DF7"/>
    <w:rsid w:val="00651513"/>
    <w:rsid w:val="00652349"/>
    <w:rsid w:val="00652857"/>
    <w:rsid w:val="0065295A"/>
    <w:rsid w:val="00652B46"/>
    <w:rsid w:val="00653268"/>
    <w:rsid w:val="0065337A"/>
    <w:rsid w:val="00653D17"/>
    <w:rsid w:val="006540A6"/>
    <w:rsid w:val="006541EF"/>
    <w:rsid w:val="00654A3A"/>
    <w:rsid w:val="00655493"/>
    <w:rsid w:val="006558C8"/>
    <w:rsid w:val="00655B55"/>
    <w:rsid w:val="00655BC6"/>
    <w:rsid w:val="00655D19"/>
    <w:rsid w:val="00656272"/>
    <w:rsid w:val="0065696C"/>
    <w:rsid w:val="00657080"/>
    <w:rsid w:val="00657198"/>
    <w:rsid w:val="00657AE2"/>
    <w:rsid w:val="00657BED"/>
    <w:rsid w:val="00657CEB"/>
    <w:rsid w:val="0066016D"/>
    <w:rsid w:val="0066056B"/>
    <w:rsid w:val="0066070D"/>
    <w:rsid w:val="00660EC6"/>
    <w:rsid w:val="00661258"/>
    <w:rsid w:val="0066157E"/>
    <w:rsid w:val="006618E7"/>
    <w:rsid w:val="00661E15"/>
    <w:rsid w:val="0066223C"/>
    <w:rsid w:val="0066233C"/>
    <w:rsid w:val="00662353"/>
    <w:rsid w:val="00662B43"/>
    <w:rsid w:val="006635DE"/>
    <w:rsid w:val="006635FC"/>
    <w:rsid w:val="006654CA"/>
    <w:rsid w:val="00665659"/>
    <w:rsid w:val="00665790"/>
    <w:rsid w:val="0066590E"/>
    <w:rsid w:val="00665AAD"/>
    <w:rsid w:val="00665C72"/>
    <w:rsid w:val="00665D5C"/>
    <w:rsid w:val="00666133"/>
    <w:rsid w:val="0066631B"/>
    <w:rsid w:val="006665D2"/>
    <w:rsid w:val="006668A8"/>
    <w:rsid w:val="006678AA"/>
    <w:rsid w:val="00667AAD"/>
    <w:rsid w:val="006712C0"/>
    <w:rsid w:val="00671466"/>
    <w:rsid w:val="006714BF"/>
    <w:rsid w:val="00671814"/>
    <w:rsid w:val="00671D00"/>
    <w:rsid w:val="006721C2"/>
    <w:rsid w:val="00672855"/>
    <w:rsid w:val="00672A79"/>
    <w:rsid w:val="00672B60"/>
    <w:rsid w:val="006731D6"/>
    <w:rsid w:val="006735A9"/>
    <w:rsid w:val="006737F2"/>
    <w:rsid w:val="00673A6C"/>
    <w:rsid w:val="00673BA0"/>
    <w:rsid w:val="00675096"/>
    <w:rsid w:val="00675287"/>
    <w:rsid w:val="006753E2"/>
    <w:rsid w:val="00675B91"/>
    <w:rsid w:val="00676096"/>
    <w:rsid w:val="006766CB"/>
    <w:rsid w:val="006768E2"/>
    <w:rsid w:val="006774A7"/>
    <w:rsid w:val="0067791D"/>
    <w:rsid w:val="00677CA4"/>
    <w:rsid w:val="00677CD3"/>
    <w:rsid w:val="00680509"/>
    <w:rsid w:val="006809F8"/>
    <w:rsid w:val="006809F9"/>
    <w:rsid w:val="00680C85"/>
    <w:rsid w:val="00680F29"/>
    <w:rsid w:val="00681499"/>
    <w:rsid w:val="00681685"/>
    <w:rsid w:val="006818D7"/>
    <w:rsid w:val="0068327F"/>
    <w:rsid w:val="0068390F"/>
    <w:rsid w:val="0068401C"/>
    <w:rsid w:val="006844D3"/>
    <w:rsid w:val="006854CC"/>
    <w:rsid w:val="00685831"/>
    <w:rsid w:val="0068590A"/>
    <w:rsid w:val="00685955"/>
    <w:rsid w:val="00685E21"/>
    <w:rsid w:val="00685E23"/>
    <w:rsid w:val="0068632F"/>
    <w:rsid w:val="0068686A"/>
    <w:rsid w:val="00686D7C"/>
    <w:rsid w:val="006871DF"/>
    <w:rsid w:val="00687219"/>
    <w:rsid w:val="006872D4"/>
    <w:rsid w:val="00690BC8"/>
    <w:rsid w:val="00691272"/>
    <w:rsid w:val="00691303"/>
    <w:rsid w:val="00691317"/>
    <w:rsid w:val="00691C9E"/>
    <w:rsid w:val="00691E84"/>
    <w:rsid w:val="00692E92"/>
    <w:rsid w:val="00692FDB"/>
    <w:rsid w:val="0069359B"/>
    <w:rsid w:val="00694224"/>
    <w:rsid w:val="00694CA7"/>
    <w:rsid w:val="00695293"/>
    <w:rsid w:val="00695487"/>
    <w:rsid w:val="006957C8"/>
    <w:rsid w:val="006958F5"/>
    <w:rsid w:val="00695D36"/>
    <w:rsid w:val="00695E65"/>
    <w:rsid w:val="00696750"/>
    <w:rsid w:val="00696A8F"/>
    <w:rsid w:val="00697688"/>
    <w:rsid w:val="0069796C"/>
    <w:rsid w:val="00697D0D"/>
    <w:rsid w:val="006A0D8C"/>
    <w:rsid w:val="006A116A"/>
    <w:rsid w:val="006A1190"/>
    <w:rsid w:val="006A13EA"/>
    <w:rsid w:val="006A19AA"/>
    <w:rsid w:val="006A2045"/>
    <w:rsid w:val="006A20E4"/>
    <w:rsid w:val="006A211A"/>
    <w:rsid w:val="006A2220"/>
    <w:rsid w:val="006A23CB"/>
    <w:rsid w:val="006A2A1E"/>
    <w:rsid w:val="006A2F0F"/>
    <w:rsid w:val="006A2F20"/>
    <w:rsid w:val="006A3219"/>
    <w:rsid w:val="006A33EB"/>
    <w:rsid w:val="006A3FA8"/>
    <w:rsid w:val="006A42CE"/>
    <w:rsid w:val="006A43CB"/>
    <w:rsid w:val="006A4466"/>
    <w:rsid w:val="006A44F5"/>
    <w:rsid w:val="006A54CB"/>
    <w:rsid w:val="006A5A2B"/>
    <w:rsid w:val="006A5D19"/>
    <w:rsid w:val="006A7498"/>
    <w:rsid w:val="006A74AD"/>
    <w:rsid w:val="006A76A6"/>
    <w:rsid w:val="006A771C"/>
    <w:rsid w:val="006A7B49"/>
    <w:rsid w:val="006B00FC"/>
    <w:rsid w:val="006B0D6A"/>
    <w:rsid w:val="006B0E1D"/>
    <w:rsid w:val="006B1035"/>
    <w:rsid w:val="006B1237"/>
    <w:rsid w:val="006B1315"/>
    <w:rsid w:val="006B1328"/>
    <w:rsid w:val="006B163A"/>
    <w:rsid w:val="006B1750"/>
    <w:rsid w:val="006B1C73"/>
    <w:rsid w:val="006B1D61"/>
    <w:rsid w:val="006B1E3C"/>
    <w:rsid w:val="006B1FAF"/>
    <w:rsid w:val="006B2EF0"/>
    <w:rsid w:val="006B2F47"/>
    <w:rsid w:val="006B318E"/>
    <w:rsid w:val="006B31D7"/>
    <w:rsid w:val="006B33FF"/>
    <w:rsid w:val="006B3A79"/>
    <w:rsid w:val="006B4415"/>
    <w:rsid w:val="006B4E92"/>
    <w:rsid w:val="006B52EC"/>
    <w:rsid w:val="006B5564"/>
    <w:rsid w:val="006B609D"/>
    <w:rsid w:val="006B6696"/>
    <w:rsid w:val="006B6CAA"/>
    <w:rsid w:val="006B6ECF"/>
    <w:rsid w:val="006B7168"/>
    <w:rsid w:val="006B79E8"/>
    <w:rsid w:val="006B7CAF"/>
    <w:rsid w:val="006B7D32"/>
    <w:rsid w:val="006B7F9B"/>
    <w:rsid w:val="006C0A72"/>
    <w:rsid w:val="006C0AAC"/>
    <w:rsid w:val="006C0ED0"/>
    <w:rsid w:val="006C0F42"/>
    <w:rsid w:val="006C169E"/>
    <w:rsid w:val="006C1CAC"/>
    <w:rsid w:val="006C208D"/>
    <w:rsid w:val="006C3D2F"/>
    <w:rsid w:val="006C479D"/>
    <w:rsid w:val="006C4B0A"/>
    <w:rsid w:val="006C4EFE"/>
    <w:rsid w:val="006C5170"/>
    <w:rsid w:val="006C5295"/>
    <w:rsid w:val="006C6016"/>
    <w:rsid w:val="006C6A3C"/>
    <w:rsid w:val="006C7405"/>
    <w:rsid w:val="006C7534"/>
    <w:rsid w:val="006C7ADC"/>
    <w:rsid w:val="006C7F8C"/>
    <w:rsid w:val="006D01CB"/>
    <w:rsid w:val="006D0A6E"/>
    <w:rsid w:val="006D0FFC"/>
    <w:rsid w:val="006D11E9"/>
    <w:rsid w:val="006D1CAC"/>
    <w:rsid w:val="006D1DE4"/>
    <w:rsid w:val="006D216E"/>
    <w:rsid w:val="006D26A8"/>
    <w:rsid w:val="006D2F51"/>
    <w:rsid w:val="006D3386"/>
    <w:rsid w:val="006D3AB7"/>
    <w:rsid w:val="006D3ED3"/>
    <w:rsid w:val="006D3ED4"/>
    <w:rsid w:val="006D42C9"/>
    <w:rsid w:val="006D453C"/>
    <w:rsid w:val="006D47AD"/>
    <w:rsid w:val="006D481F"/>
    <w:rsid w:val="006D4CD5"/>
    <w:rsid w:val="006D503B"/>
    <w:rsid w:val="006D591B"/>
    <w:rsid w:val="006D5A23"/>
    <w:rsid w:val="006D5BCF"/>
    <w:rsid w:val="006D65AD"/>
    <w:rsid w:val="006D6ABE"/>
    <w:rsid w:val="006D7117"/>
    <w:rsid w:val="006D73FC"/>
    <w:rsid w:val="006D75CD"/>
    <w:rsid w:val="006D7AD6"/>
    <w:rsid w:val="006E04DF"/>
    <w:rsid w:val="006E05F8"/>
    <w:rsid w:val="006E0721"/>
    <w:rsid w:val="006E1733"/>
    <w:rsid w:val="006E1D15"/>
    <w:rsid w:val="006E1DC5"/>
    <w:rsid w:val="006E244E"/>
    <w:rsid w:val="006E2564"/>
    <w:rsid w:val="006E266F"/>
    <w:rsid w:val="006E2D63"/>
    <w:rsid w:val="006E306A"/>
    <w:rsid w:val="006E3A99"/>
    <w:rsid w:val="006E3FC3"/>
    <w:rsid w:val="006E40F9"/>
    <w:rsid w:val="006E4C08"/>
    <w:rsid w:val="006E4CCA"/>
    <w:rsid w:val="006E4FBE"/>
    <w:rsid w:val="006E53B4"/>
    <w:rsid w:val="006E5688"/>
    <w:rsid w:val="006E59C4"/>
    <w:rsid w:val="006E59CB"/>
    <w:rsid w:val="006E62DB"/>
    <w:rsid w:val="006E6673"/>
    <w:rsid w:val="006E6DD8"/>
    <w:rsid w:val="006E70D0"/>
    <w:rsid w:val="006E75ED"/>
    <w:rsid w:val="006E78AC"/>
    <w:rsid w:val="006E7A2C"/>
    <w:rsid w:val="006E7F5F"/>
    <w:rsid w:val="006F0213"/>
    <w:rsid w:val="006F0431"/>
    <w:rsid w:val="006F0B0D"/>
    <w:rsid w:val="006F0B85"/>
    <w:rsid w:val="006F0BFB"/>
    <w:rsid w:val="006F0DF5"/>
    <w:rsid w:val="006F0E39"/>
    <w:rsid w:val="006F0E71"/>
    <w:rsid w:val="006F0EAD"/>
    <w:rsid w:val="006F16E8"/>
    <w:rsid w:val="006F170C"/>
    <w:rsid w:val="006F185D"/>
    <w:rsid w:val="006F1EF4"/>
    <w:rsid w:val="006F2951"/>
    <w:rsid w:val="006F2D60"/>
    <w:rsid w:val="006F3101"/>
    <w:rsid w:val="006F313C"/>
    <w:rsid w:val="006F380D"/>
    <w:rsid w:val="006F3BDE"/>
    <w:rsid w:val="006F3C24"/>
    <w:rsid w:val="006F3E8C"/>
    <w:rsid w:val="006F4C59"/>
    <w:rsid w:val="006F4CCA"/>
    <w:rsid w:val="006F5317"/>
    <w:rsid w:val="006F566A"/>
    <w:rsid w:val="006F586E"/>
    <w:rsid w:val="006F5870"/>
    <w:rsid w:val="006F5BF5"/>
    <w:rsid w:val="006F5E83"/>
    <w:rsid w:val="006F5F6B"/>
    <w:rsid w:val="006F6413"/>
    <w:rsid w:val="006F6594"/>
    <w:rsid w:val="006F69B6"/>
    <w:rsid w:val="006F70B7"/>
    <w:rsid w:val="006F722F"/>
    <w:rsid w:val="006F72FA"/>
    <w:rsid w:val="006F7B33"/>
    <w:rsid w:val="0070004C"/>
    <w:rsid w:val="00700056"/>
    <w:rsid w:val="00700828"/>
    <w:rsid w:val="00700887"/>
    <w:rsid w:val="00700888"/>
    <w:rsid w:val="007009F8"/>
    <w:rsid w:val="007009F9"/>
    <w:rsid w:val="00700B01"/>
    <w:rsid w:val="00700C58"/>
    <w:rsid w:val="00700D02"/>
    <w:rsid w:val="00700D66"/>
    <w:rsid w:val="007012CF"/>
    <w:rsid w:val="007012FB"/>
    <w:rsid w:val="0070169D"/>
    <w:rsid w:val="00701719"/>
    <w:rsid w:val="00701FBF"/>
    <w:rsid w:val="007021D3"/>
    <w:rsid w:val="00702EBE"/>
    <w:rsid w:val="007033D7"/>
    <w:rsid w:val="0070346A"/>
    <w:rsid w:val="007037A2"/>
    <w:rsid w:val="0070387E"/>
    <w:rsid w:val="00703C54"/>
    <w:rsid w:val="007040A5"/>
    <w:rsid w:val="007041AA"/>
    <w:rsid w:val="007045CD"/>
    <w:rsid w:val="00704A40"/>
    <w:rsid w:val="00704AFE"/>
    <w:rsid w:val="00704D3D"/>
    <w:rsid w:val="00705C2E"/>
    <w:rsid w:val="00705CD6"/>
    <w:rsid w:val="00705EBB"/>
    <w:rsid w:val="0070654D"/>
    <w:rsid w:val="007068F4"/>
    <w:rsid w:val="007069FA"/>
    <w:rsid w:val="00706CD3"/>
    <w:rsid w:val="00706D9E"/>
    <w:rsid w:val="0070723B"/>
    <w:rsid w:val="0070738A"/>
    <w:rsid w:val="007075DC"/>
    <w:rsid w:val="00707C51"/>
    <w:rsid w:val="00710706"/>
    <w:rsid w:val="00710BE9"/>
    <w:rsid w:val="007118B0"/>
    <w:rsid w:val="00711B3B"/>
    <w:rsid w:val="00711C02"/>
    <w:rsid w:val="007127A2"/>
    <w:rsid w:val="00712EBB"/>
    <w:rsid w:val="007137A7"/>
    <w:rsid w:val="00713881"/>
    <w:rsid w:val="00713CB6"/>
    <w:rsid w:val="00714742"/>
    <w:rsid w:val="0071492F"/>
    <w:rsid w:val="00714D93"/>
    <w:rsid w:val="00714F64"/>
    <w:rsid w:val="0071549E"/>
    <w:rsid w:val="0071561B"/>
    <w:rsid w:val="00716216"/>
    <w:rsid w:val="00716898"/>
    <w:rsid w:val="00716EE5"/>
    <w:rsid w:val="00717501"/>
    <w:rsid w:val="00717A6B"/>
    <w:rsid w:val="00720465"/>
    <w:rsid w:val="007204E4"/>
    <w:rsid w:val="00720554"/>
    <w:rsid w:val="00720600"/>
    <w:rsid w:val="0072068F"/>
    <w:rsid w:val="00720965"/>
    <w:rsid w:val="00720DFF"/>
    <w:rsid w:val="00720F48"/>
    <w:rsid w:val="007210EE"/>
    <w:rsid w:val="00721407"/>
    <w:rsid w:val="00721C55"/>
    <w:rsid w:val="00721CA0"/>
    <w:rsid w:val="007234FD"/>
    <w:rsid w:val="0072388B"/>
    <w:rsid w:val="00723B13"/>
    <w:rsid w:val="00723CA1"/>
    <w:rsid w:val="00723DBD"/>
    <w:rsid w:val="00723DF2"/>
    <w:rsid w:val="00723ED2"/>
    <w:rsid w:val="007246EB"/>
    <w:rsid w:val="00724B33"/>
    <w:rsid w:val="00725205"/>
    <w:rsid w:val="0072568E"/>
    <w:rsid w:val="00725EBA"/>
    <w:rsid w:val="00726248"/>
    <w:rsid w:val="007263BA"/>
    <w:rsid w:val="00726EBA"/>
    <w:rsid w:val="0072730B"/>
    <w:rsid w:val="00727C6E"/>
    <w:rsid w:val="00727F0E"/>
    <w:rsid w:val="00727FF1"/>
    <w:rsid w:val="00730076"/>
    <w:rsid w:val="00730190"/>
    <w:rsid w:val="007304ED"/>
    <w:rsid w:val="007308FF"/>
    <w:rsid w:val="00730A79"/>
    <w:rsid w:val="00730C1B"/>
    <w:rsid w:val="00731B20"/>
    <w:rsid w:val="00731F18"/>
    <w:rsid w:val="00732020"/>
    <w:rsid w:val="007320C2"/>
    <w:rsid w:val="00732142"/>
    <w:rsid w:val="007321A2"/>
    <w:rsid w:val="00732425"/>
    <w:rsid w:val="007338A0"/>
    <w:rsid w:val="007339C1"/>
    <w:rsid w:val="00733DE3"/>
    <w:rsid w:val="00733E87"/>
    <w:rsid w:val="00734BD0"/>
    <w:rsid w:val="00735036"/>
    <w:rsid w:val="00735201"/>
    <w:rsid w:val="007356CE"/>
    <w:rsid w:val="00735D69"/>
    <w:rsid w:val="0073607B"/>
    <w:rsid w:val="007360AD"/>
    <w:rsid w:val="00736CC3"/>
    <w:rsid w:val="00737068"/>
    <w:rsid w:val="00737468"/>
    <w:rsid w:val="0074056D"/>
    <w:rsid w:val="00740949"/>
    <w:rsid w:val="0074096D"/>
    <w:rsid w:val="0074223F"/>
    <w:rsid w:val="00742599"/>
    <w:rsid w:val="007426F2"/>
    <w:rsid w:val="00742C3D"/>
    <w:rsid w:val="00743501"/>
    <w:rsid w:val="00743527"/>
    <w:rsid w:val="0074376A"/>
    <w:rsid w:val="007438AC"/>
    <w:rsid w:val="0074392F"/>
    <w:rsid w:val="00743DDF"/>
    <w:rsid w:val="00743E6E"/>
    <w:rsid w:val="007440CE"/>
    <w:rsid w:val="00744613"/>
    <w:rsid w:val="00744AED"/>
    <w:rsid w:val="00744C45"/>
    <w:rsid w:val="00744D35"/>
    <w:rsid w:val="00744DAC"/>
    <w:rsid w:val="00745052"/>
    <w:rsid w:val="0074531C"/>
    <w:rsid w:val="00745837"/>
    <w:rsid w:val="00745BB7"/>
    <w:rsid w:val="00745ED5"/>
    <w:rsid w:val="00746236"/>
    <w:rsid w:val="007465B0"/>
    <w:rsid w:val="007467E9"/>
    <w:rsid w:val="00746D69"/>
    <w:rsid w:val="00746E79"/>
    <w:rsid w:val="0074709E"/>
    <w:rsid w:val="007477B3"/>
    <w:rsid w:val="00750009"/>
    <w:rsid w:val="00750ABE"/>
    <w:rsid w:val="00751047"/>
    <w:rsid w:val="00751625"/>
    <w:rsid w:val="00751672"/>
    <w:rsid w:val="00751B6A"/>
    <w:rsid w:val="007526F3"/>
    <w:rsid w:val="007529D3"/>
    <w:rsid w:val="00752A3E"/>
    <w:rsid w:val="00752B59"/>
    <w:rsid w:val="00752C2E"/>
    <w:rsid w:val="00752DE9"/>
    <w:rsid w:val="00753651"/>
    <w:rsid w:val="00753A22"/>
    <w:rsid w:val="00753AAD"/>
    <w:rsid w:val="00753DF0"/>
    <w:rsid w:val="0075409B"/>
    <w:rsid w:val="00754126"/>
    <w:rsid w:val="00754424"/>
    <w:rsid w:val="00754ABD"/>
    <w:rsid w:val="00754C74"/>
    <w:rsid w:val="00754CFB"/>
    <w:rsid w:val="00754EEB"/>
    <w:rsid w:val="00755449"/>
    <w:rsid w:val="007557CC"/>
    <w:rsid w:val="007560AD"/>
    <w:rsid w:val="0075621A"/>
    <w:rsid w:val="0075670D"/>
    <w:rsid w:val="00757145"/>
    <w:rsid w:val="007571C9"/>
    <w:rsid w:val="007579CB"/>
    <w:rsid w:val="00757ECA"/>
    <w:rsid w:val="00760FDF"/>
    <w:rsid w:val="007611A7"/>
    <w:rsid w:val="007615BC"/>
    <w:rsid w:val="00761705"/>
    <w:rsid w:val="00761841"/>
    <w:rsid w:val="00761A74"/>
    <w:rsid w:val="00761FB3"/>
    <w:rsid w:val="0076222B"/>
    <w:rsid w:val="0076227A"/>
    <w:rsid w:val="00762451"/>
    <w:rsid w:val="007624AF"/>
    <w:rsid w:val="0076256C"/>
    <w:rsid w:val="00763D4B"/>
    <w:rsid w:val="00763FFA"/>
    <w:rsid w:val="00764370"/>
    <w:rsid w:val="007646FB"/>
    <w:rsid w:val="00764B80"/>
    <w:rsid w:val="00764C9C"/>
    <w:rsid w:val="00765074"/>
    <w:rsid w:val="0076542F"/>
    <w:rsid w:val="00766093"/>
    <w:rsid w:val="00766196"/>
    <w:rsid w:val="007662C2"/>
    <w:rsid w:val="007665A8"/>
    <w:rsid w:val="007666DA"/>
    <w:rsid w:val="00766C8B"/>
    <w:rsid w:val="00766E13"/>
    <w:rsid w:val="00767020"/>
    <w:rsid w:val="00767CD3"/>
    <w:rsid w:val="00767DBF"/>
    <w:rsid w:val="00770260"/>
    <w:rsid w:val="00770BC7"/>
    <w:rsid w:val="0077111E"/>
    <w:rsid w:val="00771360"/>
    <w:rsid w:val="007715EA"/>
    <w:rsid w:val="0077169E"/>
    <w:rsid w:val="00771BD0"/>
    <w:rsid w:val="00771C61"/>
    <w:rsid w:val="00771E4C"/>
    <w:rsid w:val="0077210D"/>
    <w:rsid w:val="0077244F"/>
    <w:rsid w:val="0077288A"/>
    <w:rsid w:val="00772C9F"/>
    <w:rsid w:val="007738FD"/>
    <w:rsid w:val="00773D69"/>
    <w:rsid w:val="0077424C"/>
    <w:rsid w:val="00774B6D"/>
    <w:rsid w:val="00774EBF"/>
    <w:rsid w:val="00774FC7"/>
    <w:rsid w:val="0077515D"/>
    <w:rsid w:val="007753F1"/>
    <w:rsid w:val="00775D80"/>
    <w:rsid w:val="00776248"/>
    <w:rsid w:val="0077685D"/>
    <w:rsid w:val="007769EC"/>
    <w:rsid w:val="007774D6"/>
    <w:rsid w:val="00777BCE"/>
    <w:rsid w:val="007804F8"/>
    <w:rsid w:val="00780994"/>
    <w:rsid w:val="00781030"/>
    <w:rsid w:val="00781355"/>
    <w:rsid w:val="007813DD"/>
    <w:rsid w:val="0078180D"/>
    <w:rsid w:val="007822DE"/>
    <w:rsid w:val="007826DB"/>
    <w:rsid w:val="007835AE"/>
    <w:rsid w:val="00783752"/>
    <w:rsid w:val="00783D9F"/>
    <w:rsid w:val="00783F01"/>
    <w:rsid w:val="00784061"/>
    <w:rsid w:val="007842C1"/>
    <w:rsid w:val="007849C6"/>
    <w:rsid w:val="00784D7B"/>
    <w:rsid w:val="00785C98"/>
    <w:rsid w:val="0078619B"/>
    <w:rsid w:val="00786431"/>
    <w:rsid w:val="007867E9"/>
    <w:rsid w:val="007869A9"/>
    <w:rsid w:val="0078765F"/>
    <w:rsid w:val="00787A37"/>
    <w:rsid w:val="00787D90"/>
    <w:rsid w:val="00787EE6"/>
    <w:rsid w:val="00790B43"/>
    <w:rsid w:val="00790C2E"/>
    <w:rsid w:val="00791841"/>
    <w:rsid w:val="00791ABF"/>
    <w:rsid w:val="00791FDA"/>
    <w:rsid w:val="00792283"/>
    <w:rsid w:val="0079298E"/>
    <w:rsid w:val="00792A35"/>
    <w:rsid w:val="00792CA0"/>
    <w:rsid w:val="00792D52"/>
    <w:rsid w:val="00792DBD"/>
    <w:rsid w:val="00793090"/>
    <w:rsid w:val="0079320C"/>
    <w:rsid w:val="0079371E"/>
    <w:rsid w:val="00793890"/>
    <w:rsid w:val="00793DD7"/>
    <w:rsid w:val="0079427B"/>
    <w:rsid w:val="0079457C"/>
    <w:rsid w:val="0079490C"/>
    <w:rsid w:val="00794F7E"/>
    <w:rsid w:val="00794F9E"/>
    <w:rsid w:val="00795BA2"/>
    <w:rsid w:val="00795C34"/>
    <w:rsid w:val="00795F41"/>
    <w:rsid w:val="00796870"/>
    <w:rsid w:val="00796F6A"/>
    <w:rsid w:val="00796F88"/>
    <w:rsid w:val="00796FCA"/>
    <w:rsid w:val="007972FE"/>
    <w:rsid w:val="007974DB"/>
    <w:rsid w:val="007975A8"/>
    <w:rsid w:val="007979FC"/>
    <w:rsid w:val="00797B0F"/>
    <w:rsid w:val="00797FE8"/>
    <w:rsid w:val="007A01E8"/>
    <w:rsid w:val="007A14B3"/>
    <w:rsid w:val="007A1519"/>
    <w:rsid w:val="007A1F71"/>
    <w:rsid w:val="007A2127"/>
    <w:rsid w:val="007A2DC2"/>
    <w:rsid w:val="007A3155"/>
    <w:rsid w:val="007A39A0"/>
    <w:rsid w:val="007A3A2A"/>
    <w:rsid w:val="007A3A70"/>
    <w:rsid w:val="007A3AE7"/>
    <w:rsid w:val="007A3F3E"/>
    <w:rsid w:val="007A41B5"/>
    <w:rsid w:val="007A47F5"/>
    <w:rsid w:val="007A49AB"/>
    <w:rsid w:val="007A4A1E"/>
    <w:rsid w:val="007A4DEC"/>
    <w:rsid w:val="007A4E9C"/>
    <w:rsid w:val="007A5300"/>
    <w:rsid w:val="007A54A8"/>
    <w:rsid w:val="007A550A"/>
    <w:rsid w:val="007A558D"/>
    <w:rsid w:val="007A55AE"/>
    <w:rsid w:val="007A56A1"/>
    <w:rsid w:val="007A5793"/>
    <w:rsid w:val="007A5881"/>
    <w:rsid w:val="007A5DD5"/>
    <w:rsid w:val="007A5DDF"/>
    <w:rsid w:val="007A61F9"/>
    <w:rsid w:val="007A6364"/>
    <w:rsid w:val="007A6560"/>
    <w:rsid w:val="007A65E0"/>
    <w:rsid w:val="007A6655"/>
    <w:rsid w:val="007A690F"/>
    <w:rsid w:val="007A6C56"/>
    <w:rsid w:val="007A6E7A"/>
    <w:rsid w:val="007A7557"/>
    <w:rsid w:val="007A7695"/>
    <w:rsid w:val="007A7794"/>
    <w:rsid w:val="007A7950"/>
    <w:rsid w:val="007A796D"/>
    <w:rsid w:val="007A7A28"/>
    <w:rsid w:val="007A7DA5"/>
    <w:rsid w:val="007B041A"/>
    <w:rsid w:val="007B08E4"/>
    <w:rsid w:val="007B1596"/>
    <w:rsid w:val="007B1664"/>
    <w:rsid w:val="007B1A81"/>
    <w:rsid w:val="007B2163"/>
    <w:rsid w:val="007B2C59"/>
    <w:rsid w:val="007B2D63"/>
    <w:rsid w:val="007B2F47"/>
    <w:rsid w:val="007B2FCC"/>
    <w:rsid w:val="007B30C1"/>
    <w:rsid w:val="007B325D"/>
    <w:rsid w:val="007B53FD"/>
    <w:rsid w:val="007B63F1"/>
    <w:rsid w:val="007B6500"/>
    <w:rsid w:val="007B65B3"/>
    <w:rsid w:val="007B66D3"/>
    <w:rsid w:val="007B68BF"/>
    <w:rsid w:val="007B6981"/>
    <w:rsid w:val="007B69C0"/>
    <w:rsid w:val="007B720B"/>
    <w:rsid w:val="007B77DF"/>
    <w:rsid w:val="007B7E0E"/>
    <w:rsid w:val="007C0042"/>
    <w:rsid w:val="007C0058"/>
    <w:rsid w:val="007C016D"/>
    <w:rsid w:val="007C04E8"/>
    <w:rsid w:val="007C06CB"/>
    <w:rsid w:val="007C1099"/>
    <w:rsid w:val="007C1188"/>
    <w:rsid w:val="007C11B0"/>
    <w:rsid w:val="007C1261"/>
    <w:rsid w:val="007C1E97"/>
    <w:rsid w:val="007C213C"/>
    <w:rsid w:val="007C2216"/>
    <w:rsid w:val="007C2DFA"/>
    <w:rsid w:val="007C3210"/>
    <w:rsid w:val="007C3229"/>
    <w:rsid w:val="007C32B3"/>
    <w:rsid w:val="007C374E"/>
    <w:rsid w:val="007C39AD"/>
    <w:rsid w:val="007C3E31"/>
    <w:rsid w:val="007C40D5"/>
    <w:rsid w:val="007C4516"/>
    <w:rsid w:val="007C52A5"/>
    <w:rsid w:val="007C5941"/>
    <w:rsid w:val="007C6695"/>
    <w:rsid w:val="007C6737"/>
    <w:rsid w:val="007C69F6"/>
    <w:rsid w:val="007C6C67"/>
    <w:rsid w:val="007C763A"/>
    <w:rsid w:val="007C7B92"/>
    <w:rsid w:val="007C7D8A"/>
    <w:rsid w:val="007C7E99"/>
    <w:rsid w:val="007D0E2A"/>
    <w:rsid w:val="007D148B"/>
    <w:rsid w:val="007D1BEB"/>
    <w:rsid w:val="007D2441"/>
    <w:rsid w:val="007D2590"/>
    <w:rsid w:val="007D27D7"/>
    <w:rsid w:val="007D283B"/>
    <w:rsid w:val="007D2995"/>
    <w:rsid w:val="007D2AD1"/>
    <w:rsid w:val="007D309F"/>
    <w:rsid w:val="007D3579"/>
    <w:rsid w:val="007D3C1C"/>
    <w:rsid w:val="007D3D2B"/>
    <w:rsid w:val="007D4089"/>
    <w:rsid w:val="007D4150"/>
    <w:rsid w:val="007D47F0"/>
    <w:rsid w:val="007D4AE2"/>
    <w:rsid w:val="007D4FE1"/>
    <w:rsid w:val="007D51AC"/>
    <w:rsid w:val="007D6135"/>
    <w:rsid w:val="007D6DF8"/>
    <w:rsid w:val="007D6E0C"/>
    <w:rsid w:val="007D7029"/>
    <w:rsid w:val="007D7D40"/>
    <w:rsid w:val="007D7DEA"/>
    <w:rsid w:val="007D7EF2"/>
    <w:rsid w:val="007E0107"/>
    <w:rsid w:val="007E02D2"/>
    <w:rsid w:val="007E02D7"/>
    <w:rsid w:val="007E0867"/>
    <w:rsid w:val="007E0EA0"/>
    <w:rsid w:val="007E11B0"/>
    <w:rsid w:val="007E13BF"/>
    <w:rsid w:val="007E1948"/>
    <w:rsid w:val="007E197E"/>
    <w:rsid w:val="007E1AA1"/>
    <w:rsid w:val="007E1FC5"/>
    <w:rsid w:val="007E22B6"/>
    <w:rsid w:val="007E28A1"/>
    <w:rsid w:val="007E2AC0"/>
    <w:rsid w:val="007E2C61"/>
    <w:rsid w:val="007E2E75"/>
    <w:rsid w:val="007E3289"/>
    <w:rsid w:val="007E3509"/>
    <w:rsid w:val="007E3680"/>
    <w:rsid w:val="007E39B2"/>
    <w:rsid w:val="007E3A91"/>
    <w:rsid w:val="007E3B2E"/>
    <w:rsid w:val="007E47C2"/>
    <w:rsid w:val="007E4923"/>
    <w:rsid w:val="007E4D7D"/>
    <w:rsid w:val="007E5372"/>
    <w:rsid w:val="007E5909"/>
    <w:rsid w:val="007E6028"/>
    <w:rsid w:val="007E611C"/>
    <w:rsid w:val="007E6654"/>
    <w:rsid w:val="007E7490"/>
    <w:rsid w:val="007E7A1B"/>
    <w:rsid w:val="007E7F62"/>
    <w:rsid w:val="007E7FAD"/>
    <w:rsid w:val="007F0158"/>
    <w:rsid w:val="007F02C6"/>
    <w:rsid w:val="007F02E1"/>
    <w:rsid w:val="007F0819"/>
    <w:rsid w:val="007F10EB"/>
    <w:rsid w:val="007F1267"/>
    <w:rsid w:val="007F158E"/>
    <w:rsid w:val="007F1797"/>
    <w:rsid w:val="007F1D52"/>
    <w:rsid w:val="007F2235"/>
    <w:rsid w:val="007F24CD"/>
    <w:rsid w:val="007F2503"/>
    <w:rsid w:val="007F2660"/>
    <w:rsid w:val="007F2873"/>
    <w:rsid w:val="007F2DD9"/>
    <w:rsid w:val="007F3194"/>
    <w:rsid w:val="007F3412"/>
    <w:rsid w:val="007F3C31"/>
    <w:rsid w:val="007F3D0A"/>
    <w:rsid w:val="007F4061"/>
    <w:rsid w:val="007F40DE"/>
    <w:rsid w:val="007F4A41"/>
    <w:rsid w:val="007F5139"/>
    <w:rsid w:val="007F529D"/>
    <w:rsid w:val="007F604D"/>
    <w:rsid w:val="007F6D56"/>
    <w:rsid w:val="007F6E87"/>
    <w:rsid w:val="007F6EAA"/>
    <w:rsid w:val="007F7087"/>
    <w:rsid w:val="007F7224"/>
    <w:rsid w:val="007F735B"/>
    <w:rsid w:val="007F76F1"/>
    <w:rsid w:val="007F7BD6"/>
    <w:rsid w:val="007F7C0C"/>
    <w:rsid w:val="00800023"/>
    <w:rsid w:val="008005F8"/>
    <w:rsid w:val="008012F5"/>
    <w:rsid w:val="00801970"/>
    <w:rsid w:val="00801CAE"/>
    <w:rsid w:val="00801E07"/>
    <w:rsid w:val="008020B8"/>
    <w:rsid w:val="00802F25"/>
    <w:rsid w:val="00803ED9"/>
    <w:rsid w:val="0080405E"/>
    <w:rsid w:val="00804198"/>
    <w:rsid w:val="00804A24"/>
    <w:rsid w:val="00804C0D"/>
    <w:rsid w:val="00804DB0"/>
    <w:rsid w:val="00804E7B"/>
    <w:rsid w:val="0080555A"/>
    <w:rsid w:val="0080559F"/>
    <w:rsid w:val="00805615"/>
    <w:rsid w:val="00805626"/>
    <w:rsid w:val="008056DD"/>
    <w:rsid w:val="00806087"/>
    <w:rsid w:val="00806457"/>
    <w:rsid w:val="008064B6"/>
    <w:rsid w:val="00806FC9"/>
    <w:rsid w:val="0080742D"/>
    <w:rsid w:val="008075EE"/>
    <w:rsid w:val="00807B21"/>
    <w:rsid w:val="008101A2"/>
    <w:rsid w:val="00810282"/>
    <w:rsid w:val="0081087C"/>
    <w:rsid w:val="00810C95"/>
    <w:rsid w:val="00810EC0"/>
    <w:rsid w:val="00810F87"/>
    <w:rsid w:val="00811661"/>
    <w:rsid w:val="00811983"/>
    <w:rsid w:val="00811F57"/>
    <w:rsid w:val="0081244D"/>
    <w:rsid w:val="008126D1"/>
    <w:rsid w:val="00812854"/>
    <w:rsid w:val="008129E6"/>
    <w:rsid w:val="0081404D"/>
    <w:rsid w:val="0081420E"/>
    <w:rsid w:val="00814BCE"/>
    <w:rsid w:val="0081531C"/>
    <w:rsid w:val="00815900"/>
    <w:rsid w:val="008162A3"/>
    <w:rsid w:val="0081631A"/>
    <w:rsid w:val="008167C3"/>
    <w:rsid w:val="00816D05"/>
    <w:rsid w:val="00817D70"/>
    <w:rsid w:val="00817F8B"/>
    <w:rsid w:val="00820090"/>
    <w:rsid w:val="008201AA"/>
    <w:rsid w:val="008206B8"/>
    <w:rsid w:val="008206DD"/>
    <w:rsid w:val="00820C67"/>
    <w:rsid w:val="00820D84"/>
    <w:rsid w:val="008215B2"/>
    <w:rsid w:val="00821AF6"/>
    <w:rsid w:val="00822BAE"/>
    <w:rsid w:val="00822CAC"/>
    <w:rsid w:val="00822CBF"/>
    <w:rsid w:val="00823036"/>
    <w:rsid w:val="00823ADB"/>
    <w:rsid w:val="00823C81"/>
    <w:rsid w:val="00823E41"/>
    <w:rsid w:val="00824360"/>
    <w:rsid w:val="008244A7"/>
    <w:rsid w:val="00824585"/>
    <w:rsid w:val="00824D29"/>
    <w:rsid w:val="0082531B"/>
    <w:rsid w:val="0082550E"/>
    <w:rsid w:val="00825C6A"/>
    <w:rsid w:val="00825DBD"/>
    <w:rsid w:val="0082629C"/>
    <w:rsid w:val="00826548"/>
    <w:rsid w:val="00827AE1"/>
    <w:rsid w:val="00827B9E"/>
    <w:rsid w:val="00827FF2"/>
    <w:rsid w:val="0083062A"/>
    <w:rsid w:val="0083067E"/>
    <w:rsid w:val="00830C4E"/>
    <w:rsid w:val="00830ED5"/>
    <w:rsid w:val="008310A1"/>
    <w:rsid w:val="00831936"/>
    <w:rsid w:val="00831E2A"/>
    <w:rsid w:val="008320D9"/>
    <w:rsid w:val="0083220D"/>
    <w:rsid w:val="00832CAF"/>
    <w:rsid w:val="00833553"/>
    <w:rsid w:val="00833607"/>
    <w:rsid w:val="00833A74"/>
    <w:rsid w:val="00833AC4"/>
    <w:rsid w:val="00833D96"/>
    <w:rsid w:val="0083443B"/>
    <w:rsid w:val="008346E5"/>
    <w:rsid w:val="008347A9"/>
    <w:rsid w:val="00834CA5"/>
    <w:rsid w:val="00834F4E"/>
    <w:rsid w:val="00835236"/>
    <w:rsid w:val="00835C5F"/>
    <w:rsid w:val="00835CB7"/>
    <w:rsid w:val="00836C60"/>
    <w:rsid w:val="00836FB5"/>
    <w:rsid w:val="00837060"/>
    <w:rsid w:val="0083719C"/>
    <w:rsid w:val="00837221"/>
    <w:rsid w:val="00837719"/>
    <w:rsid w:val="008377E6"/>
    <w:rsid w:val="00840667"/>
    <w:rsid w:val="00840773"/>
    <w:rsid w:val="0084106D"/>
    <w:rsid w:val="008413C6"/>
    <w:rsid w:val="008417CD"/>
    <w:rsid w:val="008418DC"/>
    <w:rsid w:val="0084191A"/>
    <w:rsid w:val="008419A5"/>
    <w:rsid w:val="00842053"/>
    <w:rsid w:val="00842334"/>
    <w:rsid w:val="008439DC"/>
    <w:rsid w:val="00843A1C"/>
    <w:rsid w:val="00843B2E"/>
    <w:rsid w:val="00843D25"/>
    <w:rsid w:val="00843D67"/>
    <w:rsid w:val="0084412D"/>
    <w:rsid w:val="0084455C"/>
    <w:rsid w:val="008445E8"/>
    <w:rsid w:val="00844EA9"/>
    <w:rsid w:val="0084516A"/>
    <w:rsid w:val="00846124"/>
    <w:rsid w:val="00846C4B"/>
    <w:rsid w:val="00846EE6"/>
    <w:rsid w:val="008473C6"/>
    <w:rsid w:val="0084775C"/>
    <w:rsid w:val="00847E77"/>
    <w:rsid w:val="0085030F"/>
    <w:rsid w:val="008505CE"/>
    <w:rsid w:val="00850779"/>
    <w:rsid w:val="00850CC1"/>
    <w:rsid w:val="00850D2A"/>
    <w:rsid w:val="008510E7"/>
    <w:rsid w:val="00852873"/>
    <w:rsid w:val="00852FC8"/>
    <w:rsid w:val="0085334C"/>
    <w:rsid w:val="00853980"/>
    <w:rsid w:val="00853D82"/>
    <w:rsid w:val="00853E86"/>
    <w:rsid w:val="00853EFE"/>
    <w:rsid w:val="00853F1A"/>
    <w:rsid w:val="008549CD"/>
    <w:rsid w:val="00854E00"/>
    <w:rsid w:val="0085508C"/>
    <w:rsid w:val="00855317"/>
    <w:rsid w:val="0085531E"/>
    <w:rsid w:val="00855888"/>
    <w:rsid w:val="00855C79"/>
    <w:rsid w:val="00855E0D"/>
    <w:rsid w:val="008567A2"/>
    <w:rsid w:val="0085681E"/>
    <w:rsid w:val="00856C74"/>
    <w:rsid w:val="00857037"/>
    <w:rsid w:val="00857989"/>
    <w:rsid w:val="00857C5A"/>
    <w:rsid w:val="00857E96"/>
    <w:rsid w:val="00860035"/>
    <w:rsid w:val="00860197"/>
    <w:rsid w:val="00860339"/>
    <w:rsid w:val="008603A9"/>
    <w:rsid w:val="0086053E"/>
    <w:rsid w:val="0086074D"/>
    <w:rsid w:val="008616CC"/>
    <w:rsid w:val="00861910"/>
    <w:rsid w:val="00861A46"/>
    <w:rsid w:val="00861D15"/>
    <w:rsid w:val="00861F45"/>
    <w:rsid w:val="008622F7"/>
    <w:rsid w:val="008623EF"/>
    <w:rsid w:val="0086255A"/>
    <w:rsid w:val="008635E3"/>
    <w:rsid w:val="00863878"/>
    <w:rsid w:val="00863937"/>
    <w:rsid w:val="00863980"/>
    <w:rsid w:val="00863F37"/>
    <w:rsid w:val="0086401C"/>
    <w:rsid w:val="008642CE"/>
    <w:rsid w:val="00864676"/>
    <w:rsid w:val="00864B01"/>
    <w:rsid w:val="00864CD6"/>
    <w:rsid w:val="00864EE5"/>
    <w:rsid w:val="00865061"/>
    <w:rsid w:val="008651BA"/>
    <w:rsid w:val="0086544E"/>
    <w:rsid w:val="0086558D"/>
    <w:rsid w:val="008656AE"/>
    <w:rsid w:val="0086599A"/>
    <w:rsid w:val="00865C79"/>
    <w:rsid w:val="0086633E"/>
    <w:rsid w:val="00866BBB"/>
    <w:rsid w:val="00866E31"/>
    <w:rsid w:val="00866E41"/>
    <w:rsid w:val="00866F80"/>
    <w:rsid w:val="0086702D"/>
    <w:rsid w:val="00867111"/>
    <w:rsid w:val="00867740"/>
    <w:rsid w:val="00867C11"/>
    <w:rsid w:val="00870435"/>
    <w:rsid w:val="00870450"/>
    <w:rsid w:val="00870957"/>
    <w:rsid w:val="00870BA4"/>
    <w:rsid w:val="008710CE"/>
    <w:rsid w:val="0087149A"/>
    <w:rsid w:val="00871DBE"/>
    <w:rsid w:val="00872078"/>
    <w:rsid w:val="008721C6"/>
    <w:rsid w:val="0087233F"/>
    <w:rsid w:val="00872548"/>
    <w:rsid w:val="0087283E"/>
    <w:rsid w:val="00872BC6"/>
    <w:rsid w:val="00872F25"/>
    <w:rsid w:val="008732F9"/>
    <w:rsid w:val="00873613"/>
    <w:rsid w:val="00873D4C"/>
    <w:rsid w:val="00873DF2"/>
    <w:rsid w:val="00874055"/>
    <w:rsid w:val="00874371"/>
    <w:rsid w:val="008743D2"/>
    <w:rsid w:val="008747E1"/>
    <w:rsid w:val="0087490C"/>
    <w:rsid w:val="00874A36"/>
    <w:rsid w:val="00875135"/>
    <w:rsid w:val="008751CD"/>
    <w:rsid w:val="00875385"/>
    <w:rsid w:val="008757D8"/>
    <w:rsid w:val="00875905"/>
    <w:rsid w:val="008761F7"/>
    <w:rsid w:val="008765B8"/>
    <w:rsid w:val="00876756"/>
    <w:rsid w:val="00877040"/>
    <w:rsid w:val="00877340"/>
    <w:rsid w:val="00877FA3"/>
    <w:rsid w:val="008801AD"/>
    <w:rsid w:val="00880762"/>
    <w:rsid w:val="00880855"/>
    <w:rsid w:val="00880995"/>
    <w:rsid w:val="0088170D"/>
    <w:rsid w:val="0088204E"/>
    <w:rsid w:val="00882E46"/>
    <w:rsid w:val="0088405A"/>
    <w:rsid w:val="00884484"/>
    <w:rsid w:val="00884892"/>
    <w:rsid w:val="00884D96"/>
    <w:rsid w:val="00885AB8"/>
    <w:rsid w:val="008867E6"/>
    <w:rsid w:val="00887517"/>
    <w:rsid w:val="008875B1"/>
    <w:rsid w:val="008906DA"/>
    <w:rsid w:val="008908A6"/>
    <w:rsid w:val="0089092D"/>
    <w:rsid w:val="008909C4"/>
    <w:rsid w:val="00890B5C"/>
    <w:rsid w:val="00890D94"/>
    <w:rsid w:val="00890E28"/>
    <w:rsid w:val="00890E92"/>
    <w:rsid w:val="0089140B"/>
    <w:rsid w:val="008919A1"/>
    <w:rsid w:val="00891E5B"/>
    <w:rsid w:val="00892364"/>
    <w:rsid w:val="008923ED"/>
    <w:rsid w:val="008926F0"/>
    <w:rsid w:val="00892B2E"/>
    <w:rsid w:val="00893515"/>
    <w:rsid w:val="00894334"/>
    <w:rsid w:val="00894479"/>
    <w:rsid w:val="0089464F"/>
    <w:rsid w:val="0089481C"/>
    <w:rsid w:val="00895500"/>
    <w:rsid w:val="00895A09"/>
    <w:rsid w:val="00895E53"/>
    <w:rsid w:val="00896B7F"/>
    <w:rsid w:val="00896E03"/>
    <w:rsid w:val="008975AD"/>
    <w:rsid w:val="008A0128"/>
    <w:rsid w:val="008A01C3"/>
    <w:rsid w:val="008A084E"/>
    <w:rsid w:val="008A0D6E"/>
    <w:rsid w:val="008A14C2"/>
    <w:rsid w:val="008A19B0"/>
    <w:rsid w:val="008A1BC4"/>
    <w:rsid w:val="008A1BCF"/>
    <w:rsid w:val="008A2093"/>
    <w:rsid w:val="008A21C6"/>
    <w:rsid w:val="008A315D"/>
    <w:rsid w:val="008A3EE4"/>
    <w:rsid w:val="008A443D"/>
    <w:rsid w:val="008A45AE"/>
    <w:rsid w:val="008A4629"/>
    <w:rsid w:val="008A48CF"/>
    <w:rsid w:val="008A48F6"/>
    <w:rsid w:val="008A5900"/>
    <w:rsid w:val="008A5A26"/>
    <w:rsid w:val="008A5DD9"/>
    <w:rsid w:val="008A68E3"/>
    <w:rsid w:val="008A68F0"/>
    <w:rsid w:val="008A6DC5"/>
    <w:rsid w:val="008A7219"/>
    <w:rsid w:val="008A75EC"/>
    <w:rsid w:val="008A76CA"/>
    <w:rsid w:val="008B01DF"/>
    <w:rsid w:val="008B06E1"/>
    <w:rsid w:val="008B07F9"/>
    <w:rsid w:val="008B0CAC"/>
    <w:rsid w:val="008B0F48"/>
    <w:rsid w:val="008B195C"/>
    <w:rsid w:val="008B1BE8"/>
    <w:rsid w:val="008B2045"/>
    <w:rsid w:val="008B25F3"/>
    <w:rsid w:val="008B262F"/>
    <w:rsid w:val="008B3178"/>
    <w:rsid w:val="008B3563"/>
    <w:rsid w:val="008B38F3"/>
    <w:rsid w:val="008B3B70"/>
    <w:rsid w:val="008B3D56"/>
    <w:rsid w:val="008B3E05"/>
    <w:rsid w:val="008B40E0"/>
    <w:rsid w:val="008B41B6"/>
    <w:rsid w:val="008B4AD2"/>
    <w:rsid w:val="008B4F81"/>
    <w:rsid w:val="008B510C"/>
    <w:rsid w:val="008B5965"/>
    <w:rsid w:val="008B5D6C"/>
    <w:rsid w:val="008B645A"/>
    <w:rsid w:val="008B653F"/>
    <w:rsid w:val="008B6AC6"/>
    <w:rsid w:val="008B6F92"/>
    <w:rsid w:val="008B7AC4"/>
    <w:rsid w:val="008B7C36"/>
    <w:rsid w:val="008C08A9"/>
    <w:rsid w:val="008C0907"/>
    <w:rsid w:val="008C0B3E"/>
    <w:rsid w:val="008C109A"/>
    <w:rsid w:val="008C14D2"/>
    <w:rsid w:val="008C16C2"/>
    <w:rsid w:val="008C1A23"/>
    <w:rsid w:val="008C1FCB"/>
    <w:rsid w:val="008C2CFE"/>
    <w:rsid w:val="008C2FDB"/>
    <w:rsid w:val="008C33C4"/>
    <w:rsid w:val="008C3BB0"/>
    <w:rsid w:val="008C3BF2"/>
    <w:rsid w:val="008C3BFF"/>
    <w:rsid w:val="008C40BB"/>
    <w:rsid w:val="008C42B2"/>
    <w:rsid w:val="008C45ED"/>
    <w:rsid w:val="008C539A"/>
    <w:rsid w:val="008C5B4F"/>
    <w:rsid w:val="008C5E9C"/>
    <w:rsid w:val="008C5EB4"/>
    <w:rsid w:val="008C630D"/>
    <w:rsid w:val="008C6374"/>
    <w:rsid w:val="008C6CF6"/>
    <w:rsid w:val="008C6E63"/>
    <w:rsid w:val="008C6F96"/>
    <w:rsid w:val="008C7367"/>
    <w:rsid w:val="008C75E3"/>
    <w:rsid w:val="008C78E2"/>
    <w:rsid w:val="008C7B90"/>
    <w:rsid w:val="008C7BAB"/>
    <w:rsid w:val="008C7F8A"/>
    <w:rsid w:val="008D01F9"/>
    <w:rsid w:val="008D05EA"/>
    <w:rsid w:val="008D077E"/>
    <w:rsid w:val="008D0952"/>
    <w:rsid w:val="008D0EFC"/>
    <w:rsid w:val="008D22C8"/>
    <w:rsid w:val="008D2D36"/>
    <w:rsid w:val="008D3312"/>
    <w:rsid w:val="008D3616"/>
    <w:rsid w:val="008D3C44"/>
    <w:rsid w:val="008D3D2F"/>
    <w:rsid w:val="008D40AB"/>
    <w:rsid w:val="008D445F"/>
    <w:rsid w:val="008D4615"/>
    <w:rsid w:val="008D46FC"/>
    <w:rsid w:val="008D4B6F"/>
    <w:rsid w:val="008D4F77"/>
    <w:rsid w:val="008D512E"/>
    <w:rsid w:val="008D534E"/>
    <w:rsid w:val="008D53A6"/>
    <w:rsid w:val="008D5832"/>
    <w:rsid w:val="008D5E85"/>
    <w:rsid w:val="008D5F38"/>
    <w:rsid w:val="008D61FA"/>
    <w:rsid w:val="008D684D"/>
    <w:rsid w:val="008D70CF"/>
    <w:rsid w:val="008E0010"/>
    <w:rsid w:val="008E0791"/>
    <w:rsid w:val="008E0BCE"/>
    <w:rsid w:val="008E0D50"/>
    <w:rsid w:val="008E16D7"/>
    <w:rsid w:val="008E17F7"/>
    <w:rsid w:val="008E1A59"/>
    <w:rsid w:val="008E1F1B"/>
    <w:rsid w:val="008E1FFB"/>
    <w:rsid w:val="008E20B7"/>
    <w:rsid w:val="008E2A2A"/>
    <w:rsid w:val="008E35C8"/>
    <w:rsid w:val="008E38C4"/>
    <w:rsid w:val="008E3CD7"/>
    <w:rsid w:val="008E3E0A"/>
    <w:rsid w:val="008E4690"/>
    <w:rsid w:val="008E4750"/>
    <w:rsid w:val="008E536D"/>
    <w:rsid w:val="008E5B54"/>
    <w:rsid w:val="008E5BA2"/>
    <w:rsid w:val="008E6EAC"/>
    <w:rsid w:val="008E7C07"/>
    <w:rsid w:val="008E7F71"/>
    <w:rsid w:val="008F044B"/>
    <w:rsid w:val="008F095D"/>
    <w:rsid w:val="008F0A83"/>
    <w:rsid w:val="008F0ADB"/>
    <w:rsid w:val="008F11F4"/>
    <w:rsid w:val="008F1379"/>
    <w:rsid w:val="008F14E5"/>
    <w:rsid w:val="008F1887"/>
    <w:rsid w:val="008F207B"/>
    <w:rsid w:val="008F276F"/>
    <w:rsid w:val="008F27F3"/>
    <w:rsid w:val="008F320C"/>
    <w:rsid w:val="008F335E"/>
    <w:rsid w:val="008F4150"/>
    <w:rsid w:val="008F4683"/>
    <w:rsid w:val="008F46E6"/>
    <w:rsid w:val="008F5560"/>
    <w:rsid w:val="008F5815"/>
    <w:rsid w:val="008F58DB"/>
    <w:rsid w:val="008F60CB"/>
    <w:rsid w:val="008F6280"/>
    <w:rsid w:val="008F66C4"/>
    <w:rsid w:val="008F6719"/>
    <w:rsid w:val="008F6B21"/>
    <w:rsid w:val="008F6F4B"/>
    <w:rsid w:val="008F707F"/>
    <w:rsid w:val="008F7BB7"/>
    <w:rsid w:val="008F7C82"/>
    <w:rsid w:val="00900058"/>
    <w:rsid w:val="0090009B"/>
    <w:rsid w:val="009000FF"/>
    <w:rsid w:val="00900EDB"/>
    <w:rsid w:val="0090193B"/>
    <w:rsid w:val="00902226"/>
    <w:rsid w:val="009025E5"/>
    <w:rsid w:val="0090263C"/>
    <w:rsid w:val="00902AD5"/>
    <w:rsid w:val="00902B1C"/>
    <w:rsid w:val="00902C1B"/>
    <w:rsid w:val="00902FD8"/>
    <w:rsid w:val="00903462"/>
    <w:rsid w:val="00903531"/>
    <w:rsid w:val="00903599"/>
    <w:rsid w:val="00903730"/>
    <w:rsid w:val="009039C3"/>
    <w:rsid w:val="009039DD"/>
    <w:rsid w:val="00903B7D"/>
    <w:rsid w:val="00903D4E"/>
    <w:rsid w:val="00903FC8"/>
    <w:rsid w:val="009044ED"/>
    <w:rsid w:val="0090484A"/>
    <w:rsid w:val="00904A8B"/>
    <w:rsid w:val="009058CC"/>
    <w:rsid w:val="00905D54"/>
    <w:rsid w:val="00906319"/>
    <w:rsid w:val="009064C6"/>
    <w:rsid w:val="0090686B"/>
    <w:rsid w:val="00906DA6"/>
    <w:rsid w:val="0090720E"/>
    <w:rsid w:val="00907C42"/>
    <w:rsid w:val="00910069"/>
    <w:rsid w:val="009109B0"/>
    <w:rsid w:val="009116F3"/>
    <w:rsid w:val="0091183F"/>
    <w:rsid w:val="00911B3E"/>
    <w:rsid w:val="00911DC9"/>
    <w:rsid w:val="009120C4"/>
    <w:rsid w:val="00912770"/>
    <w:rsid w:val="00912BA8"/>
    <w:rsid w:val="009132E5"/>
    <w:rsid w:val="009132F1"/>
    <w:rsid w:val="00913A2F"/>
    <w:rsid w:val="00913B99"/>
    <w:rsid w:val="00913EC0"/>
    <w:rsid w:val="00914056"/>
    <w:rsid w:val="00914C07"/>
    <w:rsid w:val="00914EB0"/>
    <w:rsid w:val="009155C9"/>
    <w:rsid w:val="009162E8"/>
    <w:rsid w:val="00916307"/>
    <w:rsid w:val="00916BEC"/>
    <w:rsid w:val="00917092"/>
    <w:rsid w:val="009170E4"/>
    <w:rsid w:val="00917119"/>
    <w:rsid w:val="00917C6A"/>
    <w:rsid w:val="00917F1E"/>
    <w:rsid w:val="0092002C"/>
    <w:rsid w:val="0092017B"/>
    <w:rsid w:val="009203F2"/>
    <w:rsid w:val="00920488"/>
    <w:rsid w:val="00920914"/>
    <w:rsid w:val="00920E5E"/>
    <w:rsid w:val="00921983"/>
    <w:rsid w:val="00922027"/>
    <w:rsid w:val="0092205E"/>
    <w:rsid w:val="0092227A"/>
    <w:rsid w:val="009227DF"/>
    <w:rsid w:val="009229A3"/>
    <w:rsid w:val="00923267"/>
    <w:rsid w:val="00923614"/>
    <w:rsid w:val="00923967"/>
    <w:rsid w:val="00923F59"/>
    <w:rsid w:val="009244EB"/>
    <w:rsid w:val="0092456F"/>
    <w:rsid w:val="00924642"/>
    <w:rsid w:val="009249DB"/>
    <w:rsid w:val="00924FC8"/>
    <w:rsid w:val="009250A2"/>
    <w:rsid w:val="00925331"/>
    <w:rsid w:val="009255AC"/>
    <w:rsid w:val="009260F0"/>
    <w:rsid w:val="00926220"/>
    <w:rsid w:val="00926222"/>
    <w:rsid w:val="0092630A"/>
    <w:rsid w:val="00926888"/>
    <w:rsid w:val="00926C23"/>
    <w:rsid w:val="00926CE6"/>
    <w:rsid w:val="00926EA1"/>
    <w:rsid w:val="00927165"/>
    <w:rsid w:val="009273AF"/>
    <w:rsid w:val="0092751A"/>
    <w:rsid w:val="0092788D"/>
    <w:rsid w:val="009308F5"/>
    <w:rsid w:val="00930B32"/>
    <w:rsid w:val="00930BF9"/>
    <w:rsid w:val="00930FCB"/>
    <w:rsid w:val="00931236"/>
    <w:rsid w:val="0093129F"/>
    <w:rsid w:val="00931CA9"/>
    <w:rsid w:val="00931F9E"/>
    <w:rsid w:val="009323BF"/>
    <w:rsid w:val="0093240B"/>
    <w:rsid w:val="009325D9"/>
    <w:rsid w:val="00932C28"/>
    <w:rsid w:val="0093392E"/>
    <w:rsid w:val="009340BB"/>
    <w:rsid w:val="009340F5"/>
    <w:rsid w:val="0093419F"/>
    <w:rsid w:val="0093482C"/>
    <w:rsid w:val="00934A2A"/>
    <w:rsid w:val="00934BE8"/>
    <w:rsid w:val="00934DE5"/>
    <w:rsid w:val="00934F08"/>
    <w:rsid w:val="009350C9"/>
    <w:rsid w:val="00935363"/>
    <w:rsid w:val="0093566A"/>
    <w:rsid w:val="00935917"/>
    <w:rsid w:val="00935C9B"/>
    <w:rsid w:val="00935EEC"/>
    <w:rsid w:val="009362E8"/>
    <w:rsid w:val="00936408"/>
    <w:rsid w:val="00936695"/>
    <w:rsid w:val="00936AEA"/>
    <w:rsid w:val="00936B7D"/>
    <w:rsid w:val="00937342"/>
    <w:rsid w:val="0093789B"/>
    <w:rsid w:val="00937C50"/>
    <w:rsid w:val="009400AD"/>
    <w:rsid w:val="00940617"/>
    <w:rsid w:val="00940D49"/>
    <w:rsid w:val="00941005"/>
    <w:rsid w:val="009415BB"/>
    <w:rsid w:val="009418F6"/>
    <w:rsid w:val="00941C97"/>
    <w:rsid w:val="00941EB4"/>
    <w:rsid w:val="009421ED"/>
    <w:rsid w:val="009423B7"/>
    <w:rsid w:val="00942EAC"/>
    <w:rsid w:val="00943C4C"/>
    <w:rsid w:val="00943C63"/>
    <w:rsid w:val="0094406A"/>
    <w:rsid w:val="009446AE"/>
    <w:rsid w:val="00944B6F"/>
    <w:rsid w:val="00945075"/>
    <w:rsid w:val="00945541"/>
    <w:rsid w:val="009458D0"/>
    <w:rsid w:val="00945AF0"/>
    <w:rsid w:val="00945F65"/>
    <w:rsid w:val="0094616B"/>
    <w:rsid w:val="00946398"/>
    <w:rsid w:val="00946575"/>
    <w:rsid w:val="00946629"/>
    <w:rsid w:val="00946713"/>
    <w:rsid w:val="009467CA"/>
    <w:rsid w:val="0094703E"/>
    <w:rsid w:val="00947102"/>
    <w:rsid w:val="00947514"/>
    <w:rsid w:val="0094764C"/>
    <w:rsid w:val="0095030E"/>
    <w:rsid w:val="00950530"/>
    <w:rsid w:val="00950827"/>
    <w:rsid w:val="00951299"/>
    <w:rsid w:val="00951555"/>
    <w:rsid w:val="00951832"/>
    <w:rsid w:val="009518F9"/>
    <w:rsid w:val="00951A4D"/>
    <w:rsid w:val="00951AF4"/>
    <w:rsid w:val="00951B8A"/>
    <w:rsid w:val="00951CFA"/>
    <w:rsid w:val="00951E26"/>
    <w:rsid w:val="00951E52"/>
    <w:rsid w:val="0095224C"/>
    <w:rsid w:val="00952A3E"/>
    <w:rsid w:val="00952C95"/>
    <w:rsid w:val="00952F7C"/>
    <w:rsid w:val="009539D6"/>
    <w:rsid w:val="00953BC2"/>
    <w:rsid w:val="00954217"/>
    <w:rsid w:val="0095442D"/>
    <w:rsid w:val="00954470"/>
    <w:rsid w:val="0095467F"/>
    <w:rsid w:val="00954754"/>
    <w:rsid w:val="009548EF"/>
    <w:rsid w:val="009549A3"/>
    <w:rsid w:val="00954CDF"/>
    <w:rsid w:val="00955868"/>
    <w:rsid w:val="00955FC0"/>
    <w:rsid w:val="009566EA"/>
    <w:rsid w:val="009568BF"/>
    <w:rsid w:val="00956FD3"/>
    <w:rsid w:val="0095750E"/>
    <w:rsid w:val="00957620"/>
    <w:rsid w:val="0095770F"/>
    <w:rsid w:val="00957865"/>
    <w:rsid w:val="009578C5"/>
    <w:rsid w:val="0096069C"/>
    <w:rsid w:val="009607F7"/>
    <w:rsid w:val="009608BC"/>
    <w:rsid w:val="00961CC0"/>
    <w:rsid w:val="009628F5"/>
    <w:rsid w:val="00962DAE"/>
    <w:rsid w:val="00963873"/>
    <w:rsid w:val="009638FA"/>
    <w:rsid w:val="00963BAE"/>
    <w:rsid w:val="00964481"/>
    <w:rsid w:val="00964818"/>
    <w:rsid w:val="00964D91"/>
    <w:rsid w:val="00964DEA"/>
    <w:rsid w:val="00965C9D"/>
    <w:rsid w:val="00965EEE"/>
    <w:rsid w:val="00966296"/>
    <w:rsid w:val="00967590"/>
    <w:rsid w:val="0096792C"/>
    <w:rsid w:val="009679D1"/>
    <w:rsid w:val="009708E1"/>
    <w:rsid w:val="00970CB8"/>
    <w:rsid w:val="00970F0F"/>
    <w:rsid w:val="00971530"/>
    <w:rsid w:val="0097173B"/>
    <w:rsid w:val="0097200C"/>
    <w:rsid w:val="00972338"/>
    <w:rsid w:val="00972563"/>
    <w:rsid w:val="009726D2"/>
    <w:rsid w:val="00972F88"/>
    <w:rsid w:val="00973BC1"/>
    <w:rsid w:val="009741A9"/>
    <w:rsid w:val="009743E1"/>
    <w:rsid w:val="00974CF6"/>
    <w:rsid w:val="00975167"/>
    <w:rsid w:val="00976DB3"/>
    <w:rsid w:val="0097712D"/>
    <w:rsid w:val="009772AA"/>
    <w:rsid w:val="00977300"/>
    <w:rsid w:val="00977710"/>
    <w:rsid w:val="00977E87"/>
    <w:rsid w:val="00977F63"/>
    <w:rsid w:val="00980B1A"/>
    <w:rsid w:val="00980C91"/>
    <w:rsid w:val="00981786"/>
    <w:rsid w:val="00981D41"/>
    <w:rsid w:val="009826C8"/>
    <w:rsid w:val="00982B70"/>
    <w:rsid w:val="00982E3B"/>
    <w:rsid w:val="00982F1C"/>
    <w:rsid w:val="009832F6"/>
    <w:rsid w:val="00983462"/>
    <w:rsid w:val="009834A9"/>
    <w:rsid w:val="00983C7E"/>
    <w:rsid w:val="00983D72"/>
    <w:rsid w:val="009840A5"/>
    <w:rsid w:val="00984FC3"/>
    <w:rsid w:val="00985006"/>
    <w:rsid w:val="009854DE"/>
    <w:rsid w:val="009857E9"/>
    <w:rsid w:val="0098582C"/>
    <w:rsid w:val="00985C78"/>
    <w:rsid w:val="0098636C"/>
    <w:rsid w:val="0098638C"/>
    <w:rsid w:val="00986711"/>
    <w:rsid w:val="00986722"/>
    <w:rsid w:val="00986772"/>
    <w:rsid w:val="00986CB8"/>
    <w:rsid w:val="00991562"/>
    <w:rsid w:val="009915A5"/>
    <w:rsid w:val="0099176D"/>
    <w:rsid w:val="00991BF6"/>
    <w:rsid w:val="00991DA8"/>
    <w:rsid w:val="00991E5E"/>
    <w:rsid w:val="00992277"/>
    <w:rsid w:val="0099243D"/>
    <w:rsid w:val="009926D1"/>
    <w:rsid w:val="00992E82"/>
    <w:rsid w:val="00993D47"/>
    <w:rsid w:val="00994C51"/>
    <w:rsid w:val="00994D92"/>
    <w:rsid w:val="00994F8A"/>
    <w:rsid w:val="00995B17"/>
    <w:rsid w:val="00995F51"/>
    <w:rsid w:val="00996266"/>
    <w:rsid w:val="00996269"/>
    <w:rsid w:val="00996581"/>
    <w:rsid w:val="00996701"/>
    <w:rsid w:val="00996E4D"/>
    <w:rsid w:val="00997021"/>
    <w:rsid w:val="0099714A"/>
    <w:rsid w:val="0099751C"/>
    <w:rsid w:val="00997BED"/>
    <w:rsid w:val="00997D7E"/>
    <w:rsid w:val="00997E6B"/>
    <w:rsid w:val="009A0343"/>
    <w:rsid w:val="009A0619"/>
    <w:rsid w:val="009A0B05"/>
    <w:rsid w:val="009A0DD0"/>
    <w:rsid w:val="009A0E42"/>
    <w:rsid w:val="009A111E"/>
    <w:rsid w:val="009A17E0"/>
    <w:rsid w:val="009A1CB2"/>
    <w:rsid w:val="009A2185"/>
    <w:rsid w:val="009A2251"/>
    <w:rsid w:val="009A23A5"/>
    <w:rsid w:val="009A23B7"/>
    <w:rsid w:val="009A2821"/>
    <w:rsid w:val="009A3043"/>
    <w:rsid w:val="009A36E9"/>
    <w:rsid w:val="009A3AAE"/>
    <w:rsid w:val="009A3E99"/>
    <w:rsid w:val="009A44FD"/>
    <w:rsid w:val="009A5118"/>
    <w:rsid w:val="009A5CDE"/>
    <w:rsid w:val="009A619F"/>
    <w:rsid w:val="009A70E1"/>
    <w:rsid w:val="009A724D"/>
    <w:rsid w:val="009A7787"/>
    <w:rsid w:val="009A7E29"/>
    <w:rsid w:val="009B0D50"/>
    <w:rsid w:val="009B0D62"/>
    <w:rsid w:val="009B1154"/>
    <w:rsid w:val="009B1572"/>
    <w:rsid w:val="009B1B39"/>
    <w:rsid w:val="009B1BF1"/>
    <w:rsid w:val="009B20EF"/>
    <w:rsid w:val="009B241C"/>
    <w:rsid w:val="009B2A30"/>
    <w:rsid w:val="009B3066"/>
    <w:rsid w:val="009B30D8"/>
    <w:rsid w:val="009B315A"/>
    <w:rsid w:val="009B3566"/>
    <w:rsid w:val="009B3C05"/>
    <w:rsid w:val="009B3C19"/>
    <w:rsid w:val="009B3F28"/>
    <w:rsid w:val="009B4412"/>
    <w:rsid w:val="009B456D"/>
    <w:rsid w:val="009B4954"/>
    <w:rsid w:val="009B4A52"/>
    <w:rsid w:val="009B4D78"/>
    <w:rsid w:val="009B4FAB"/>
    <w:rsid w:val="009B4FC7"/>
    <w:rsid w:val="009B5275"/>
    <w:rsid w:val="009B5623"/>
    <w:rsid w:val="009B5BCA"/>
    <w:rsid w:val="009B5C20"/>
    <w:rsid w:val="009B5F75"/>
    <w:rsid w:val="009B616F"/>
    <w:rsid w:val="009B629F"/>
    <w:rsid w:val="009B6A7C"/>
    <w:rsid w:val="009B6FB7"/>
    <w:rsid w:val="009B74F7"/>
    <w:rsid w:val="009B7BCC"/>
    <w:rsid w:val="009B7D11"/>
    <w:rsid w:val="009C0228"/>
    <w:rsid w:val="009C032A"/>
    <w:rsid w:val="009C0BC9"/>
    <w:rsid w:val="009C1091"/>
    <w:rsid w:val="009C1682"/>
    <w:rsid w:val="009C16B0"/>
    <w:rsid w:val="009C1799"/>
    <w:rsid w:val="009C19C1"/>
    <w:rsid w:val="009C1D49"/>
    <w:rsid w:val="009C213B"/>
    <w:rsid w:val="009C242D"/>
    <w:rsid w:val="009C2AB2"/>
    <w:rsid w:val="009C3777"/>
    <w:rsid w:val="009C3E6D"/>
    <w:rsid w:val="009C3E9F"/>
    <w:rsid w:val="009C4222"/>
    <w:rsid w:val="009C4502"/>
    <w:rsid w:val="009C4549"/>
    <w:rsid w:val="009C45E4"/>
    <w:rsid w:val="009C48B0"/>
    <w:rsid w:val="009C4B6D"/>
    <w:rsid w:val="009C4FBC"/>
    <w:rsid w:val="009C52B6"/>
    <w:rsid w:val="009C5349"/>
    <w:rsid w:val="009C5585"/>
    <w:rsid w:val="009C5919"/>
    <w:rsid w:val="009C5BEB"/>
    <w:rsid w:val="009C5CF2"/>
    <w:rsid w:val="009C694D"/>
    <w:rsid w:val="009C69E5"/>
    <w:rsid w:val="009C7193"/>
    <w:rsid w:val="009C7228"/>
    <w:rsid w:val="009C78EA"/>
    <w:rsid w:val="009D007E"/>
    <w:rsid w:val="009D0C71"/>
    <w:rsid w:val="009D0FF0"/>
    <w:rsid w:val="009D1460"/>
    <w:rsid w:val="009D1522"/>
    <w:rsid w:val="009D1C4B"/>
    <w:rsid w:val="009D1CB6"/>
    <w:rsid w:val="009D2511"/>
    <w:rsid w:val="009D2555"/>
    <w:rsid w:val="009D33A4"/>
    <w:rsid w:val="009D346A"/>
    <w:rsid w:val="009D37A9"/>
    <w:rsid w:val="009D3CB3"/>
    <w:rsid w:val="009D421F"/>
    <w:rsid w:val="009D500D"/>
    <w:rsid w:val="009D50BD"/>
    <w:rsid w:val="009D5377"/>
    <w:rsid w:val="009D625C"/>
    <w:rsid w:val="009D6E82"/>
    <w:rsid w:val="009D7D5D"/>
    <w:rsid w:val="009D7FE4"/>
    <w:rsid w:val="009E027D"/>
    <w:rsid w:val="009E061C"/>
    <w:rsid w:val="009E06EF"/>
    <w:rsid w:val="009E0F98"/>
    <w:rsid w:val="009E116B"/>
    <w:rsid w:val="009E1B01"/>
    <w:rsid w:val="009E1FCF"/>
    <w:rsid w:val="009E230F"/>
    <w:rsid w:val="009E2497"/>
    <w:rsid w:val="009E275F"/>
    <w:rsid w:val="009E2E55"/>
    <w:rsid w:val="009E3020"/>
    <w:rsid w:val="009E37D4"/>
    <w:rsid w:val="009E416A"/>
    <w:rsid w:val="009E4999"/>
    <w:rsid w:val="009E53AA"/>
    <w:rsid w:val="009E5A22"/>
    <w:rsid w:val="009E6434"/>
    <w:rsid w:val="009E6A47"/>
    <w:rsid w:val="009E702D"/>
    <w:rsid w:val="009E7B0C"/>
    <w:rsid w:val="009E7B24"/>
    <w:rsid w:val="009F0B7F"/>
    <w:rsid w:val="009F0E82"/>
    <w:rsid w:val="009F154B"/>
    <w:rsid w:val="009F1A72"/>
    <w:rsid w:val="009F248A"/>
    <w:rsid w:val="009F26FC"/>
    <w:rsid w:val="009F2F36"/>
    <w:rsid w:val="009F35C0"/>
    <w:rsid w:val="009F36F8"/>
    <w:rsid w:val="009F3B78"/>
    <w:rsid w:val="009F42E3"/>
    <w:rsid w:val="009F5064"/>
    <w:rsid w:val="009F5229"/>
    <w:rsid w:val="009F54C3"/>
    <w:rsid w:val="009F58C9"/>
    <w:rsid w:val="009F5976"/>
    <w:rsid w:val="009F6002"/>
    <w:rsid w:val="009F6288"/>
    <w:rsid w:val="009F65B8"/>
    <w:rsid w:val="009F6A30"/>
    <w:rsid w:val="009F6A7B"/>
    <w:rsid w:val="009F7821"/>
    <w:rsid w:val="009F7EEB"/>
    <w:rsid w:val="00A0028C"/>
    <w:rsid w:val="00A0116F"/>
    <w:rsid w:val="00A0193D"/>
    <w:rsid w:val="00A01C84"/>
    <w:rsid w:val="00A01CD6"/>
    <w:rsid w:val="00A02528"/>
    <w:rsid w:val="00A02602"/>
    <w:rsid w:val="00A027D7"/>
    <w:rsid w:val="00A03723"/>
    <w:rsid w:val="00A03921"/>
    <w:rsid w:val="00A03C3E"/>
    <w:rsid w:val="00A04356"/>
    <w:rsid w:val="00A0443B"/>
    <w:rsid w:val="00A04833"/>
    <w:rsid w:val="00A04952"/>
    <w:rsid w:val="00A04D50"/>
    <w:rsid w:val="00A052F0"/>
    <w:rsid w:val="00A05F1D"/>
    <w:rsid w:val="00A06A0A"/>
    <w:rsid w:val="00A070DE"/>
    <w:rsid w:val="00A07125"/>
    <w:rsid w:val="00A076B2"/>
    <w:rsid w:val="00A07B28"/>
    <w:rsid w:val="00A07D83"/>
    <w:rsid w:val="00A07DF2"/>
    <w:rsid w:val="00A10204"/>
    <w:rsid w:val="00A102D7"/>
    <w:rsid w:val="00A104FB"/>
    <w:rsid w:val="00A10A0D"/>
    <w:rsid w:val="00A10DCD"/>
    <w:rsid w:val="00A10F8F"/>
    <w:rsid w:val="00A11183"/>
    <w:rsid w:val="00A112CD"/>
    <w:rsid w:val="00A11365"/>
    <w:rsid w:val="00A127EA"/>
    <w:rsid w:val="00A12A77"/>
    <w:rsid w:val="00A12EE1"/>
    <w:rsid w:val="00A13121"/>
    <w:rsid w:val="00A13366"/>
    <w:rsid w:val="00A1339B"/>
    <w:rsid w:val="00A1370D"/>
    <w:rsid w:val="00A1450D"/>
    <w:rsid w:val="00A14B1F"/>
    <w:rsid w:val="00A15098"/>
    <w:rsid w:val="00A15BD9"/>
    <w:rsid w:val="00A1718E"/>
    <w:rsid w:val="00A176DD"/>
    <w:rsid w:val="00A17CF9"/>
    <w:rsid w:val="00A20357"/>
    <w:rsid w:val="00A20799"/>
    <w:rsid w:val="00A20F9F"/>
    <w:rsid w:val="00A210BA"/>
    <w:rsid w:val="00A2152C"/>
    <w:rsid w:val="00A21F05"/>
    <w:rsid w:val="00A222B5"/>
    <w:rsid w:val="00A223BC"/>
    <w:rsid w:val="00A2248F"/>
    <w:rsid w:val="00A22D08"/>
    <w:rsid w:val="00A2324D"/>
    <w:rsid w:val="00A23841"/>
    <w:rsid w:val="00A23DE9"/>
    <w:rsid w:val="00A24090"/>
    <w:rsid w:val="00A24306"/>
    <w:rsid w:val="00A24791"/>
    <w:rsid w:val="00A247AC"/>
    <w:rsid w:val="00A247F4"/>
    <w:rsid w:val="00A24A65"/>
    <w:rsid w:val="00A24C22"/>
    <w:rsid w:val="00A25933"/>
    <w:rsid w:val="00A25FBD"/>
    <w:rsid w:val="00A25FD1"/>
    <w:rsid w:val="00A26234"/>
    <w:rsid w:val="00A2640A"/>
    <w:rsid w:val="00A2658E"/>
    <w:rsid w:val="00A26CF2"/>
    <w:rsid w:val="00A26E4C"/>
    <w:rsid w:val="00A26EB2"/>
    <w:rsid w:val="00A2710E"/>
    <w:rsid w:val="00A27422"/>
    <w:rsid w:val="00A27437"/>
    <w:rsid w:val="00A27ED0"/>
    <w:rsid w:val="00A30515"/>
    <w:rsid w:val="00A30A6C"/>
    <w:rsid w:val="00A30B6E"/>
    <w:rsid w:val="00A31659"/>
    <w:rsid w:val="00A31A66"/>
    <w:rsid w:val="00A31E66"/>
    <w:rsid w:val="00A31F49"/>
    <w:rsid w:val="00A32076"/>
    <w:rsid w:val="00A3244B"/>
    <w:rsid w:val="00A32DE5"/>
    <w:rsid w:val="00A33340"/>
    <w:rsid w:val="00A3355A"/>
    <w:rsid w:val="00A33C7A"/>
    <w:rsid w:val="00A34845"/>
    <w:rsid w:val="00A34927"/>
    <w:rsid w:val="00A34D51"/>
    <w:rsid w:val="00A352F3"/>
    <w:rsid w:val="00A354AF"/>
    <w:rsid w:val="00A357EE"/>
    <w:rsid w:val="00A358AC"/>
    <w:rsid w:val="00A35AD8"/>
    <w:rsid w:val="00A36129"/>
    <w:rsid w:val="00A36247"/>
    <w:rsid w:val="00A364E0"/>
    <w:rsid w:val="00A36664"/>
    <w:rsid w:val="00A377A5"/>
    <w:rsid w:val="00A377FA"/>
    <w:rsid w:val="00A37E42"/>
    <w:rsid w:val="00A40386"/>
    <w:rsid w:val="00A403C8"/>
    <w:rsid w:val="00A40412"/>
    <w:rsid w:val="00A40BDE"/>
    <w:rsid w:val="00A42318"/>
    <w:rsid w:val="00A4274F"/>
    <w:rsid w:val="00A42EC5"/>
    <w:rsid w:val="00A42F69"/>
    <w:rsid w:val="00A43686"/>
    <w:rsid w:val="00A43831"/>
    <w:rsid w:val="00A43EBC"/>
    <w:rsid w:val="00A444D6"/>
    <w:rsid w:val="00A44E70"/>
    <w:rsid w:val="00A44F51"/>
    <w:rsid w:val="00A4510B"/>
    <w:rsid w:val="00A45BA3"/>
    <w:rsid w:val="00A460CD"/>
    <w:rsid w:val="00A46BB2"/>
    <w:rsid w:val="00A473B6"/>
    <w:rsid w:val="00A478FE"/>
    <w:rsid w:val="00A50283"/>
    <w:rsid w:val="00A504A1"/>
    <w:rsid w:val="00A518A0"/>
    <w:rsid w:val="00A518AA"/>
    <w:rsid w:val="00A51C0A"/>
    <w:rsid w:val="00A524A1"/>
    <w:rsid w:val="00A52982"/>
    <w:rsid w:val="00A52EB7"/>
    <w:rsid w:val="00A53188"/>
    <w:rsid w:val="00A532AE"/>
    <w:rsid w:val="00A536C9"/>
    <w:rsid w:val="00A536DA"/>
    <w:rsid w:val="00A5374C"/>
    <w:rsid w:val="00A53A10"/>
    <w:rsid w:val="00A53A92"/>
    <w:rsid w:val="00A53F51"/>
    <w:rsid w:val="00A546FC"/>
    <w:rsid w:val="00A54E22"/>
    <w:rsid w:val="00A55319"/>
    <w:rsid w:val="00A56054"/>
    <w:rsid w:val="00A563F2"/>
    <w:rsid w:val="00A56DF3"/>
    <w:rsid w:val="00A56FCE"/>
    <w:rsid w:val="00A570A2"/>
    <w:rsid w:val="00A57441"/>
    <w:rsid w:val="00A57941"/>
    <w:rsid w:val="00A57E48"/>
    <w:rsid w:val="00A60240"/>
    <w:rsid w:val="00A60A85"/>
    <w:rsid w:val="00A60DA2"/>
    <w:rsid w:val="00A60FFD"/>
    <w:rsid w:val="00A618B2"/>
    <w:rsid w:val="00A61B9B"/>
    <w:rsid w:val="00A61BE8"/>
    <w:rsid w:val="00A61E44"/>
    <w:rsid w:val="00A6202D"/>
    <w:rsid w:val="00A62083"/>
    <w:rsid w:val="00A6280D"/>
    <w:rsid w:val="00A62A47"/>
    <w:rsid w:val="00A62D61"/>
    <w:rsid w:val="00A62E63"/>
    <w:rsid w:val="00A63245"/>
    <w:rsid w:val="00A63398"/>
    <w:rsid w:val="00A6398A"/>
    <w:rsid w:val="00A63E91"/>
    <w:rsid w:val="00A643FD"/>
    <w:rsid w:val="00A64B77"/>
    <w:rsid w:val="00A64FBD"/>
    <w:rsid w:val="00A6574F"/>
    <w:rsid w:val="00A6619D"/>
    <w:rsid w:val="00A66203"/>
    <w:rsid w:val="00A664FB"/>
    <w:rsid w:val="00A6656D"/>
    <w:rsid w:val="00A66723"/>
    <w:rsid w:val="00A668BB"/>
    <w:rsid w:val="00A66F80"/>
    <w:rsid w:val="00A67368"/>
    <w:rsid w:val="00A6760E"/>
    <w:rsid w:val="00A67663"/>
    <w:rsid w:val="00A67BC3"/>
    <w:rsid w:val="00A702F7"/>
    <w:rsid w:val="00A70498"/>
    <w:rsid w:val="00A70761"/>
    <w:rsid w:val="00A708B6"/>
    <w:rsid w:val="00A709F3"/>
    <w:rsid w:val="00A70A85"/>
    <w:rsid w:val="00A71017"/>
    <w:rsid w:val="00A71471"/>
    <w:rsid w:val="00A7253B"/>
    <w:rsid w:val="00A73569"/>
    <w:rsid w:val="00A735D6"/>
    <w:rsid w:val="00A73AAB"/>
    <w:rsid w:val="00A73B6D"/>
    <w:rsid w:val="00A73B94"/>
    <w:rsid w:val="00A73DA3"/>
    <w:rsid w:val="00A7458E"/>
    <w:rsid w:val="00A74B7D"/>
    <w:rsid w:val="00A75676"/>
    <w:rsid w:val="00A7618D"/>
    <w:rsid w:val="00A7624B"/>
    <w:rsid w:val="00A76339"/>
    <w:rsid w:val="00A763F0"/>
    <w:rsid w:val="00A76CF1"/>
    <w:rsid w:val="00A77659"/>
    <w:rsid w:val="00A77793"/>
    <w:rsid w:val="00A77EE4"/>
    <w:rsid w:val="00A80308"/>
    <w:rsid w:val="00A80EA0"/>
    <w:rsid w:val="00A812DA"/>
    <w:rsid w:val="00A8142F"/>
    <w:rsid w:val="00A817F8"/>
    <w:rsid w:val="00A81901"/>
    <w:rsid w:val="00A8238E"/>
    <w:rsid w:val="00A82450"/>
    <w:rsid w:val="00A827AD"/>
    <w:rsid w:val="00A82987"/>
    <w:rsid w:val="00A831AB"/>
    <w:rsid w:val="00A841BD"/>
    <w:rsid w:val="00A84F16"/>
    <w:rsid w:val="00A85170"/>
    <w:rsid w:val="00A85A78"/>
    <w:rsid w:val="00A85B53"/>
    <w:rsid w:val="00A860B1"/>
    <w:rsid w:val="00A86598"/>
    <w:rsid w:val="00A86624"/>
    <w:rsid w:val="00A86776"/>
    <w:rsid w:val="00A86A57"/>
    <w:rsid w:val="00A87477"/>
    <w:rsid w:val="00A877B5"/>
    <w:rsid w:val="00A878C4"/>
    <w:rsid w:val="00A90387"/>
    <w:rsid w:val="00A903D5"/>
    <w:rsid w:val="00A9040C"/>
    <w:rsid w:val="00A90429"/>
    <w:rsid w:val="00A9086A"/>
    <w:rsid w:val="00A908AE"/>
    <w:rsid w:val="00A90A6D"/>
    <w:rsid w:val="00A90CF2"/>
    <w:rsid w:val="00A91478"/>
    <w:rsid w:val="00A918AE"/>
    <w:rsid w:val="00A9195C"/>
    <w:rsid w:val="00A92468"/>
    <w:rsid w:val="00A92E9E"/>
    <w:rsid w:val="00A92F0F"/>
    <w:rsid w:val="00A93193"/>
    <w:rsid w:val="00A935EF"/>
    <w:rsid w:val="00A93F3B"/>
    <w:rsid w:val="00A93F56"/>
    <w:rsid w:val="00A94164"/>
    <w:rsid w:val="00A94252"/>
    <w:rsid w:val="00A94669"/>
    <w:rsid w:val="00A9549B"/>
    <w:rsid w:val="00A9571A"/>
    <w:rsid w:val="00A95C75"/>
    <w:rsid w:val="00A968B8"/>
    <w:rsid w:val="00A96D24"/>
    <w:rsid w:val="00A970D3"/>
    <w:rsid w:val="00A97EC6"/>
    <w:rsid w:val="00AA02C1"/>
    <w:rsid w:val="00AA03CD"/>
    <w:rsid w:val="00AA086B"/>
    <w:rsid w:val="00AA1158"/>
    <w:rsid w:val="00AA1221"/>
    <w:rsid w:val="00AA1272"/>
    <w:rsid w:val="00AA181C"/>
    <w:rsid w:val="00AA24F0"/>
    <w:rsid w:val="00AA3A83"/>
    <w:rsid w:val="00AA4776"/>
    <w:rsid w:val="00AA4FEC"/>
    <w:rsid w:val="00AA5057"/>
    <w:rsid w:val="00AA5102"/>
    <w:rsid w:val="00AA51CC"/>
    <w:rsid w:val="00AA525A"/>
    <w:rsid w:val="00AA5313"/>
    <w:rsid w:val="00AA54A6"/>
    <w:rsid w:val="00AA574D"/>
    <w:rsid w:val="00AA5B32"/>
    <w:rsid w:val="00AA61D3"/>
    <w:rsid w:val="00AA6848"/>
    <w:rsid w:val="00AA6CB5"/>
    <w:rsid w:val="00AA707F"/>
    <w:rsid w:val="00AA76CA"/>
    <w:rsid w:val="00AA78CE"/>
    <w:rsid w:val="00AA792C"/>
    <w:rsid w:val="00AB023E"/>
    <w:rsid w:val="00AB075B"/>
    <w:rsid w:val="00AB0836"/>
    <w:rsid w:val="00AB09DB"/>
    <w:rsid w:val="00AB145E"/>
    <w:rsid w:val="00AB1654"/>
    <w:rsid w:val="00AB2121"/>
    <w:rsid w:val="00AB2347"/>
    <w:rsid w:val="00AB3AD5"/>
    <w:rsid w:val="00AB4A24"/>
    <w:rsid w:val="00AB51BE"/>
    <w:rsid w:val="00AB560A"/>
    <w:rsid w:val="00AB603B"/>
    <w:rsid w:val="00AB6FF9"/>
    <w:rsid w:val="00AB7237"/>
    <w:rsid w:val="00AB72F8"/>
    <w:rsid w:val="00AB731F"/>
    <w:rsid w:val="00AB752C"/>
    <w:rsid w:val="00AB7590"/>
    <w:rsid w:val="00AB7AB5"/>
    <w:rsid w:val="00AC00C6"/>
    <w:rsid w:val="00AC02EA"/>
    <w:rsid w:val="00AC040C"/>
    <w:rsid w:val="00AC1402"/>
    <w:rsid w:val="00AC1476"/>
    <w:rsid w:val="00AC15ED"/>
    <w:rsid w:val="00AC1624"/>
    <w:rsid w:val="00AC1792"/>
    <w:rsid w:val="00AC1E2F"/>
    <w:rsid w:val="00AC1F6E"/>
    <w:rsid w:val="00AC221E"/>
    <w:rsid w:val="00AC2A82"/>
    <w:rsid w:val="00AC2F3B"/>
    <w:rsid w:val="00AC3334"/>
    <w:rsid w:val="00AC37CD"/>
    <w:rsid w:val="00AC3C46"/>
    <w:rsid w:val="00AC434A"/>
    <w:rsid w:val="00AC43D3"/>
    <w:rsid w:val="00AC4F79"/>
    <w:rsid w:val="00AC4FB6"/>
    <w:rsid w:val="00AC54F7"/>
    <w:rsid w:val="00AC5A95"/>
    <w:rsid w:val="00AC5AB3"/>
    <w:rsid w:val="00AC5D4A"/>
    <w:rsid w:val="00AC617A"/>
    <w:rsid w:val="00AC67F4"/>
    <w:rsid w:val="00AC6E64"/>
    <w:rsid w:val="00AC7ADC"/>
    <w:rsid w:val="00AC7ECD"/>
    <w:rsid w:val="00AD0856"/>
    <w:rsid w:val="00AD0C0C"/>
    <w:rsid w:val="00AD0D9E"/>
    <w:rsid w:val="00AD1553"/>
    <w:rsid w:val="00AD16E6"/>
    <w:rsid w:val="00AD1849"/>
    <w:rsid w:val="00AD19B0"/>
    <w:rsid w:val="00AD1D4A"/>
    <w:rsid w:val="00AD23C3"/>
    <w:rsid w:val="00AD23EF"/>
    <w:rsid w:val="00AD29C3"/>
    <w:rsid w:val="00AD2A84"/>
    <w:rsid w:val="00AD2E82"/>
    <w:rsid w:val="00AD3839"/>
    <w:rsid w:val="00AD392B"/>
    <w:rsid w:val="00AD40BF"/>
    <w:rsid w:val="00AD4285"/>
    <w:rsid w:val="00AD430B"/>
    <w:rsid w:val="00AD4869"/>
    <w:rsid w:val="00AD5630"/>
    <w:rsid w:val="00AD58A4"/>
    <w:rsid w:val="00AD5D32"/>
    <w:rsid w:val="00AD5DD0"/>
    <w:rsid w:val="00AD66AF"/>
    <w:rsid w:val="00AD6B7A"/>
    <w:rsid w:val="00AD6C2A"/>
    <w:rsid w:val="00AD6DCC"/>
    <w:rsid w:val="00AD6E8A"/>
    <w:rsid w:val="00AD784A"/>
    <w:rsid w:val="00AE03E1"/>
    <w:rsid w:val="00AE0C1F"/>
    <w:rsid w:val="00AE0F73"/>
    <w:rsid w:val="00AE13F8"/>
    <w:rsid w:val="00AE15DF"/>
    <w:rsid w:val="00AE19E5"/>
    <w:rsid w:val="00AE1E82"/>
    <w:rsid w:val="00AE22F8"/>
    <w:rsid w:val="00AE24B4"/>
    <w:rsid w:val="00AE2525"/>
    <w:rsid w:val="00AE2566"/>
    <w:rsid w:val="00AE31BA"/>
    <w:rsid w:val="00AE36FF"/>
    <w:rsid w:val="00AE3D43"/>
    <w:rsid w:val="00AE3E90"/>
    <w:rsid w:val="00AE4927"/>
    <w:rsid w:val="00AE4BCA"/>
    <w:rsid w:val="00AE4EE7"/>
    <w:rsid w:val="00AE52F9"/>
    <w:rsid w:val="00AE5677"/>
    <w:rsid w:val="00AE5BCE"/>
    <w:rsid w:val="00AE6419"/>
    <w:rsid w:val="00AE6623"/>
    <w:rsid w:val="00AE67AC"/>
    <w:rsid w:val="00AE7220"/>
    <w:rsid w:val="00AE73BB"/>
    <w:rsid w:val="00AE7777"/>
    <w:rsid w:val="00AE77FD"/>
    <w:rsid w:val="00AE7BE2"/>
    <w:rsid w:val="00AF1242"/>
    <w:rsid w:val="00AF1252"/>
    <w:rsid w:val="00AF159E"/>
    <w:rsid w:val="00AF162C"/>
    <w:rsid w:val="00AF1912"/>
    <w:rsid w:val="00AF1C03"/>
    <w:rsid w:val="00AF218D"/>
    <w:rsid w:val="00AF24AA"/>
    <w:rsid w:val="00AF275C"/>
    <w:rsid w:val="00AF2DA8"/>
    <w:rsid w:val="00AF2F64"/>
    <w:rsid w:val="00AF31B3"/>
    <w:rsid w:val="00AF3852"/>
    <w:rsid w:val="00AF3977"/>
    <w:rsid w:val="00AF3B7E"/>
    <w:rsid w:val="00AF4185"/>
    <w:rsid w:val="00AF46E6"/>
    <w:rsid w:val="00AF4841"/>
    <w:rsid w:val="00AF523E"/>
    <w:rsid w:val="00AF5837"/>
    <w:rsid w:val="00AF6650"/>
    <w:rsid w:val="00AF6847"/>
    <w:rsid w:val="00AF694D"/>
    <w:rsid w:val="00AF6A70"/>
    <w:rsid w:val="00AF6ACD"/>
    <w:rsid w:val="00AF6CC0"/>
    <w:rsid w:val="00AF753A"/>
    <w:rsid w:val="00AF77C0"/>
    <w:rsid w:val="00AF7C1C"/>
    <w:rsid w:val="00AF7EB3"/>
    <w:rsid w:val="00B002B8"/>
    <w:rsid w:val="00B003F1"/>
    <w:rsid w:val="00B0097B"/>
    <w:rsid w:val="00B01063"/>
    <w:rsid w:val="00B0138A"/>
    <w:rsid w:val="00B01431"/>
    <w:rsid w:val="00B01DC8"/>
    <w:rsid w:val="00B0225A"/>
    <w:rsid w:val="00B0276B"/>
    <w:rsid w:val="00B02D32"/>
    <w:rsid w:val="00B034AF"/>
    <w:rsid w:val="00B03554"/>
    <w:rsid w:val="00B040A9"/>
    <w:rsid w:val="00B04399"/>
    <w:rsid w:val="00B04A00"/>
    <w:rsid w:val="00B04A74"/>
    <w:rsid w:val="00B04C71"/>
    <w:rsid w:val="00B05530"/>
    <w:rsid w:val="00B05B53"/>
    <w:rsid w:val="00B05B90"/>
    <w:rsid w:val="00B06649"/>
    <w:rsid w:val="00B06FFC"/>
    <w:rsid w:val="00B0728E"/>
    <w:rsid w:val="00B1028E"/>
    <w:rsid w:val="00B1043E"/>
    <w:rsid w:val="00B1062A"/>
    <w:rsid w:val="00B10B75"/>
    <w:rsid w:val="00B114A0"/>
    <w:rsid w:val="00B11612"/>
    <w:rsid w:val="00B11686"/>
    <w:rsid w:val="00B11D9A"/>
    <w:rsid w:val="00B12229"/>
    <w:rsid w:val="00B123F9"/>
    <w:rsid w:val="00B12BF6"/>
    <w:rsid w:val="00B1399B"/>
    <w:rsid w:val="00B148EB"/>
    <w:rsid w:val="00B15B97"/>
    <w:rsid w:val="00B15BEE"/>
    <w:rsid w:val="00B15D03"/>
    <w:rsid w:val="00B16B0A"/>
    <w:rsid w:val="00B1704C"/>
    <w:rsid w:val="00B174E9"/>
    <w:rsid w:val="00B175D1"/>
    <w:rsid w:val="00B20230"/>
    <w:rsid w:val="00B202CC"/>
    <w:rsid w:val="00B20654"/>
    <w:rsid w:val="00B206D3"/>
    <w:rsid w:val="00B207CB"/>
    <w:rsid w:val="00B20A03"/>
    <w:rsid w:val="00B20B7F"/>
    <w:rsid w:val="00B20C79"/>
    <w:rsid w:val="00B20D0D"/>
    <w:rsid w:val="00B20F89"/>
    <w:rsid w:val="00B2112A"/>
    <w:rsid w:val="00B213A4"/>
    <w:rsid w:val="00B2164A"/>
    <w:rsid w:val="00B223C2"/>
    <w:rsid w:val="00B2316F"/>
    <w:rsid w:val="00B237B4"/>
    <w:rsid w:val="00B23B28"/>
    <w:rsid w:val="00B23F3A"/>
    <w:rsid w:val="00B24002"/>
    <w:rsid w:val="00B2436B"/>
    <w:rsid w:val="00B24F02"/>
    <w:rsid w:val="00B25C0F"/>
    <w:rsid w:val="00B25C64"/>
    <w:rsid w:val="00B2633A"/>
    <w:rsid w:val="00B26BB5"/>
    <w:rsid w:val="00B2714D"/>
    <w:rsid w:val="00B3046D"/>
    <w:rsid w:val="00B30DF1"/>
    <w:rsid w:val="00B3119E"/>
    <w:rsid w:val="00B3144A"/>
    <w:rsid w:val="00B31D47"/>
    <w:rsid w:val="00B32349"/>
    <w:rsid w:val="00B326CD"/>
    <w:rsid w:val="00B32DF7"/>
    <w:rsid w:val="00B3303C"/>
    <w:rsid w:val="00B330A9"/>
    <w:rsid w:val="00B33402"/>
    <w:rsid w:val="00B3340C"/>
    <w:rsid w:val="00B33461"/>
    <w:rsid w:val="00B33517"/>
    <w:rsid w:val="00B33542"/>
    <w:rsid w:val="00B33824"/>
    <w:rsid w:val="00B33B15"/>
    <w:rsid w:val="00B33CA5"/>
    <w:rsid w:val="00B340B3"/>
    <w:rsid w:val="00B34509"/>
    <w:rsid w:val="00B34B4D"/>
    <w:rsid w:val="00B353A3"/>
    <w:rsid w:val="00B354C6"/>
    <w:rsid w:val="00B3577B"/>
    <w:rsid w:val="00B359AB"/>
    <w:rsid w:val="00B35FE6"/>
    <w:rsid w:val="00B36147"/>
    <w:rsid w:val="00B36B04"/>
    <w:rsid w:val="00B36E6A"/>
    <w:rsid w:val="00B37934"/>
    <w:rsid w:val="00B40444"/>
    <w:rsid w:val="00B406F3"/>
    <w:rsid w:val="00B40A9B"/>
    <w:rsid w:val="00B417BB"/>
    <w:rsid w:val="00B41EF9"/>
    <w:rsid w:val="00B422BC"/>
    <w:rsid w:val="00B4245F"/>
    <w:rsid w:val="00B427E4"/>
    <w:rsid w:val="00B42889"/>
    <w:rsid w:val="00B42991"/>
    <w:rsid w:val="00B42A92"/>
    <w:rsid w:val="00B43483"/>
    <w:rsid w:val="00B43684"/>
    <w:rsid w:val="00B4425B"/>
    <w:rsid w:val="00B44CDC"/>
    <w:rsid w:val="00B45A61"/>
    <w:rsid w:val="00B45C55"/>
    <w:rsid w:val="00B46049"/>
    <w:rsid w:val="00B4609D"/>
    <w:rsid w:val="00B46904"/>
    <w:rsid w:val="00B47221"/>
    <w:rsid w:val="00B47693"/>
    <w:rsid w:val="00B476FF"/>
    <w:rsid w:val="00B506CE"/>
    <w:rsid w:val="00B50E66"/>
    <w:rsid w:val="00B51F5C"/>
    <w:rsid w:val="00B524FE"/>
    <w:rsid w:val="00B5343B"/>
    <w:rsid w:val="00B5398D"/>
    <w:rsid w:val="00B53FB8"/>
    <w:rsid w:val="00B54D7E"/>
    <w:rsid w:val="00B54F29"/>
    <w:rsid w:val="00B554A9"/>
    <w:rsid w:val="00B55537"/>
    <w:rsid w:val="00B5588C"/>
    <w:rsid w:val="00B55C02"/>
    <w:rsid w:val="00B55D7D"/>
    <w:rsid w:val="00B5621D"/>
    <w:rsid w:val="00B5665D"/>
    <w:rsid w:val="00B56881"/>
    <w:rsid w:val="00B569A0"/>
    <w:rsid w:val="00B56B74"/>
    <w:rsid w:val="00B570A2"/>
    <w:rsid w:val="00B570E5"/>
    <w:rsid w:val="00B57B7F"/>
    <w:rsid w:val="00B57C4F"/>
    <w:rsid w:val="00B603A1"/>
    <w:rsid w:val="00B606F9"/>
    <w:rsid w:val="00B60887"/>
    <w:rsid w:val="00B60D09"/>
    <w:rsid w:val="00B60F06"/>
    <w:rsid w:val="00B617CA"/>
    <w:rsid w:val="00B61842"/>
    <w:rsid w:val="00B61C10"/>
    <w:rsid w:val="00B61EFE"/>
    <w:rsid w:val="00B62DCF"/>
    <w:rsid w:val="00B634B0"/>
    <w:rsid w:val="00B63A77"/>
    <w:rsid w:val="00B63C3A"/>
    <w:rsid w:val="00B63D58"/>
    <w:rsid w:val="00B63F11"/>
    <w:rsid w:val="00B640C8"/>
    <w:rsid w:val="00B646FD"/>
    <w:rsid w:val="00B64820"/>
    <w:rsid w:val="00B64A9E"/>
    <w:rsid w:val="00B64DB2"/>
    <w:rsid w:val="00B6527B"/>
    <w:rsid w:val="00B65A32"/>
    <w:rsid w:val="00B65A55"/>
    <w:rsid w:val="00B65AEA"/>
    <w:rsid w:val="00B65DB0"/>
    <w:rsid w:val="00B6632C"/>
    <w:rsid w:val="00B66778"/>
    <w:rsid w:val="00B66BC7"/>
    <w:rsid w:val="00B66F03"/>
    <w:rsid w:val="00B670DF"/>
    <w:rsid w:val="00B67458"/>
    <w:rsid w:val="00B6777B"/>
    <w:rsid w:val="00B67885"/>
    <w:rsid w:val="00B679DA"/>
    <w:rsid w:val="00B67FD9"/>
    <w:rsid w:val="00B7132B"/>
    <w:rsid w:val="00B71366"/>
    <w:rsid w:val="00B716AD"/>
    <w:rsid w:val="00B7178F"/>
    <w:rsid w:val="00B71D56"/>
    <w:rsid w:val="00B71DB0"/>
    <w:rsid w:val="00B72441"/>
    <w:rsid w:val="00B728B2"/>
    <w:rsid w:val="00B72AC1"/>
    <w:rsid w:val="00B73766"/>
    <w:rsid w:val="00B73EB9"/>
    <w:rsid w:val="00B7425E"/>
    <w:rsid w:val="00B7461B"/>
    <w:rsid w:val="00B757DF"/>
    <w:rsid w:val="00B75BE0"/>
    <w:rsid w:val="00B76519"/>
    <w:rsid w:val="00B7697C"/>
    <w:rsid w:val="00B77063"/>
    <w:rsid w:val="00B77922"/>
    <w:rsid w:val="00B77EB5"/>
    <w:rsid w:val="00B80521"/>
    <w:rsid w:val="00B80AFB"/>
    <w:rsid w:val="00B80D93"/>
    <w:rsid w:val="00B81775"/>
    <w:rsid w:val="00B8185F"/>
    <w:rsid w:val="00B81958"/>
    <w:rsid w:val="00B81EE9"/>
    <w:rsid w:val="00B821BC"/>
    <w:rsid w:val="00B82295"/>
    <w:rsid w:val="00B82497"/>
    <w:rsid w:val="00B828CF"/>
    <w:rsid w:val="00B82CB8"/>
    <w:rsid w:val="00B832B7"/>
    <w:rsid w:val="00B83764"/>
    <w:rsid w:val="00B83C4B"/>
    <w:rsid w:val="00B84693"/>
    <w:rsid w:val="00B856D3"/>
    <w:rsid w:val="00B85EA4"/>
    <w:rsid w:val="00B8608E"/>
    <w:rsid w:val="00B86545"/>
    <w:rsid w:val="00B86F2F"/>
    <w:rsid w:val="00B87A83"/>
    <w:rsid w:val="00B87BEA"/>
    <w:rsid w:val="00B90130"/>
    <w:rsid w:val="00B909B4"/>
    <w:rsid w:val="00B90D42"/>
    <w:rsid w:val="00B90D7C"/>
    <w:rsid w:val="00B90FE5"/>
    <w:rsid w:val="00B9113E"/>
    <w:rsid w:val="00B911CD"/>
    <w:rsid w:val="00B915DB"/>
    <w:rsid w:val="00B91908"/>
    <w:rsid w:val="00B91A98"/>
    <w:rsid w:val="00B91B0C"/>
    <w:rsid w:val="00B91EF6"/>
    <w:rsid w:val="00B92454"/>
    <w:rsid w:val="00B925EE"/>
    <w:rsid w:val="00B92645"/>
    <w:rsid w:val="00B92979"/>
    <w:rsid w:val="00B92D1F"/>
    <w:rsid w:val="00B92E14"/>
    <w:rsid w:val="00B93135"/>
    <w:rsid w:val="00B931F2"/>
    <w:rsid w:val="00B94104"/>
    <w:rsid w:val="00B941BC"/>
    <w:rsid w:val="00B95082"/>
    <w:rsid w:val="00B9655C"/>
    <w:rsid w:val="00B966E8"/>
    <w:rsid w:val="00B966EB"/>
    <w:rsid w:val="00B96808"/>
    <w:rsid w:val="00B96917"/>
    <w:rsid w:val="00B96E24"/>
    <w:rsid w:val="00B97297"/>
    <w:rsid w:val="00B9757A"/>
    <w:rsid w:val="00B978E2"/>
    <w:rsid w:val="00B97D48"/>
    <w:rsid w:val="00BA0234"/>
    <w:rsid w:val="00BA06B2"/>
    <w:rsid w:val="00BA08E9"/>
    <w:rsid w:val="00BA110E"/>
    <w:rsid w:val="00BA1662"/>
    <w:rsid w:val="00BA23E3"/>
    <w:rsid w:val="00BA34D2"/>
    <w:rsid w:val="00BA3D30"/>
    <w:rsid w:val="00BA404F"/>
    <w:rsid w:val="00BA5E67"/>
    <w:rsid w:val="00BA6021"/>
    <w:rsid w:val="00BA6101"/>
    <w:rsid w:val="00BA61A1"/>
    <w:rsid w:val="00BA6367"/>
    <w:rsid w:val="00BA6859"/>
    <w:rsid w:val="00BA6AD3"/>
    <w:rsid w:val="00BA6FA5"/>
    <w:rsid w:val="00BA774A"/>
    <w:rsid w:val="00BA7F41"/>
    <w:rsid w:val="00BB00C3"/>
    <w:rsid w:val="00BB053A"/>
    <w:rsid w:val="00BB12CA"/>
    <w:rsid w:val="00BB1B5C"/>
    <w:rsid w:val="00BB1CBA"/>
    <w:rsid w:val="00BB223D"/>
    <w:rsid w:val="00BB2721"/>
    <w:rsid w:val="00BB2BA6"/>
    <w:rsid w:val="00BB2F2E"/>
    <w:rsid w:val="00BB3F78"/>
    <w:rsid w:val="00BB45EE"/>
    <w:rsid w:val="00BB460D"/>
    <w:rsid w:val="00BB4B6C"/>
    <w:rsid w:val="00BB4F65"/>
    <w:rsid w:val="00BB4FA9"/>
    <w:rsid w:val="00BB4FE1"/>
    <w:rsid w:val="00BB5780"/>
    <w:rsid w:val="00BB586F"/>
    <w:rsid w:val="00BB6629"/>
    <w:rsid w:val="00BB667E"/>
    <w:rsid w:val="00BB6976"/>
    <w:rsid w:val="00BB6FBE"/>
    <w:rsid w:val="00BB7530"/>
    <w:rsid w:val="00BC01A6"/>
    <w:rsid w:val="00BC06A5"/>
    <w:rsid w:val="00BC0D75"/>
    <w:rsid w:val="00BC1269"/>
    <w:rsid w:val="00BC1627"/>
    <w:rsid w:val="00BC1931"/>
    <w:rsid w:val="00BC1974"/>
    <w:rsid w:val="00BC1B4B"/>
    <w:rsid w:val="00BC2086"/>
    <w:rsid w:val="00BC2343"/>
    <w:rsid w:val="00BC269B"/>
    <w:rsid w:val="00BC2D6A"/>
    <w:rsid w:val="00BC3168"/>
    <w:rsid w:val="00BC32F6"/>
    <w:rsid w:val="00BC3FB3"/>
    <w:rsid w:val="00BC4907"/>
    <w:rsid w:val="00BC4EB2"/>
    <w:rsid w:val="00BC4F39"/>
    <w:rsid w:val="00BC54DE"/>
    <w:rsid w:val="00BC54F5"/>
    <w:rsid w:val="00BC556D"/>
    <w:rsid w:val="00BC59BD"/>
    <w:rsid w:val="00BC5CB1"/>
    <w:rsid w:val="00BC5E09"/>
    <w:rsid w:val="00BC5FD2"/>
    <w:rsid w:val="00BC670A"/>
    <w:rsid w:val="00BC6CB2"/>
    <w:rsid w:val="00BC7353"/>
    <w:rsid w:val="00BC7368"/>
    <w:rsid w:val="00BC740A"/>
    <w:rsid w:val="00BC77DB"/>
    <w:rsid w:val="00BC7CF4"/>
    <w:rsid w:val="00BC7D72"/>
    <w:rsid w:val="00BD0641"/>
    <w:rsid w:val="00BD16A3"/>
    <w:rsid w:val="00BD1A26"/>
    <w:rsid w:val="00BD23B7"/>
    <w:rsid w:val="00BD26B4"/>
    <w:rsid w:val="00BD284B"/>
    <w:rsid w:val="00BD2F6A"/>
    <w:rsid w:val="00BD31D0"/>
    <w:rsid w:val="00BD4ADD"/>
    <w:rsid w:val="00BD4F6A"/>
    <w:rsid w:val="00BD50A3"/>
    <w:rsid w:val="00BD5872"/>
    <w:rsid w:val="00BD5BA0"/>
    <w:rsid w:val="00BD62AE"/>
    <w:rsid w:val="00BD66C8"/>
    <w:rsid w:val="00BD67CE"/>
    <w:rsid w:val="00BD689B"/>
    <w:rsid w:val="00BD6C35"/>
    <w:rsid w:val="00BD6CE3"/>
    <w:rsid w:val="00BD73CF"/>
    <w:rsid w:val="00BD74A5"/>
    <w:rsid w:val="00BD7BAF"/>
    <w:rsid w:val="00BD7BF1"/>
    <w:rsid w:val="00BD7FFB"/>
    <w:rsid w:val="00BE143B"/>
    <w:rsid w:val="00BE1E40"/>
    <w:rsid w:val="00BE1FF1"/>
    <w:rsid w:val="00BE202B"/>
    <w:rsid w:val="00BE21E3"/>
    <w:rsid w:val="00BE222A"/>
    <w:rsid w:val="00BE255A"/>
    <w:rsid w:val="00BE2840"/>
    <w:rsid w:val="00BE2CF1"/>
    <w:rsid w:val="00BE3698"/>
    <w:rsid w:val="00BE38AA"/>
    <w:rsid w:val="00BE3BC5"/>
    <w:rsid w:val="00BE3CA7"/>
    <w:rsid w:val="00BE3D87"/>
    <w:rsid w:val="00BE4550"/>
    <w:rsid w:val="00BE4652"/>
    <w:rsid w:val="00BE4946"/>
    <w:rsid w:val="00BE50C1"/>
    <w:rsid w:val="00BE51EF"/>
    <w:rsid w:val="00BE545F"/>
    <w:rsid w:val="00BE57F0"/>
    <w:rsid w:val="00BE5805"/>
    <w:rsid w:val="00BE59D2"/>
    <w:rsid w:val="00BE5A0F"/>
    <w:rsid w:val="00BE5C28"/>
    <w:rsid w:val="00BE6B54"/>
    <w:rsid w:val="00BE70F1"/>
    <w:rsid w:val="00BE7255"/>
    <w:rsid w:val="00BE72E4"/>
    <w:rsid w:val="00BE7322"/>
    <w:rsid w:val="00BE7755"/>
    <w:rsid w:val="00BE79AB"/>
    <w:rsid w:val="00BE79C9"/>
    <w:rsid w:val="00BE7E31"/>
    <w:rsid w:val="00BF08E9"/>
    <w:rsid w:val="00BF0CB3"/>
    <w:rsid w:val="00BF14AE"/>
    <w:rsid w:val="00BF1769"/>
    <w:rsid w:val="00BF1AE0"/>
    <w:rsid w:val="00BF2117"/>
    <w:rsid w:val="00BF257D"/>
    <w:rsid w:val="00BF26B6"/>
    <w:rsid w:val="00BF2772"/>
    <w:rsid w:val="00BF2B50"/>
    <w:rsid w:val="00BF2B89"/>
    <w:rsid w:val="00BF3112"/>
    <w:rsid w:val="00BF3553"/>
    <w:rsid w:val="00BF41C2"/>
    <w:rsid w:val="00BF4D1D"/>
    <w:rsid w:val="00BF4E34"/>
    <w:rsid w:val="00BF4F08"/>
    <w:rsid w:val="00BF5010"/>
    <w:rsid w:val="00BF502E"/>
    <w:rsid w:val="00BF5131"/>
    <w:rsid w:val="00BF51B4"/>
    <w:rsid w:val="00BF57C3"/>
    <w:rsid w:val="00BF710D"/>
    <w:rsid w:val="00BF72BF"/>
    <w:rsid w:val="00BF7409"/>
    <w:rsid w:val="00BF7B00"/>
    <w:rsid w:val="00C005B3"/>
    <w:rsid w:val="00C00828"/>
    <w:rsid w:val="00C00EC5"/>
    <w:rsid w:val="00C014F3"/>
    <w:rsid w:val="00C015B1"/>
    <w:rsid w:val="00C01708"/>
    <w:rsid w:val="00C017FB"/>
    <w:rsid w:val="00C01813"/>
    <w:rsid w:val="00C0311F"/>
    <w:rsid w:val="00C035EB"/>
    <w:rsid w:val="00C03CCB"/>
    <w:rsid w:val="00C040C7"/>
    <w:rsid w:val="00C04101"/>
    <w:rsid w:val="00C04D32"/>
    <w:rsid w:val="00C054A7"/>
    <w:rsid w:val="00C0597F"/>
    <w:rsid w:val="00C05F64"/>
    <w:rsid w:val="00C0602C"/>
    <w:rsid w:val="00C06546"/>
    <w:rsid w:val="00C06762"/>
    <w:rsid w:val="00C068EA"/>
    <w:rsid w:val="00C06901"/>
    <w:rsid w:val="00C06909"/>
    <w:rsid w:val="00C06D76"/>
    <w:rsid w:val="00C070CE"/>
    <w:rsid w:val="00C07FDA"/>
    <w:rsid w:val="00C10085"/>
    <w:rsid w:val="00C105BD"/>
    <w:rsid w:val="00C105F1"/>
    <w:rsid w:val="00C110F3"/>
    <w:rsid w:val="00C122AD"/>
    <w:rsid w:val="00C12672"/>
    <w:rsid w:val="00C129E6"/>
    <w:rsid w:val="00C12A38"/>
    <w:rsid w:val="00C12C0C"/>
    <w:rsid w:val="00C130C6"/>
    <w:rsid w:val="00C1365B"/>
    <w:rsid w:val="00C13726"/>
    <w:rsid w:val="00C14616"/>
    <w:rsid w:val="00C14642"/>
    <w:rsid w:val="00C1467C"/>
    <w:rsid w:val="00C146F3"/>
    <w:rsid w:val="00C149D0"/>
    <w:rsid w:val="00C14CD9"/>
    <w:rsid w:val="00C14F23"/>
    <w:rsid w:val="00C1528E"/>
    <w:rsid w:val="00C15969"/>
    <w:rsid w:val="00C15A06"/>
    <w:rsid w:val="00C15B59"/>
    <w:rsid w:val="00C15CE5"/>
    <w:rsid w:val="00C16955"/>
    <w:rsid w:val="00C171AF"/>
    <w:rsid w:val="00C17593"/>
    <w:rsid w:val="00C2008A"/>
    <w:rsid w:val="00C207D9"/>
    <w:rsid w:val="00C20868"/>
    <w:rsid w:val="00C209F3"/>
    <w:rsid w:val="00C212CA"/>
    <w:rsid w:val="00C21530"/>
    <w:rsid w:val="00C2156F"/>
    <w:rsid w:val="00C21B44"/>
    <w:rsid w:val="00C21B57"/>
    <w:rsid w:val="00C21DA4"/>
    <w:rsid w:val="00C21DAA"/>
    <w:rsid w:val="00C21DE8"/>
    <w:rsid w:val="00C21E6F"/>
    <w:rsid w:val="00C21F64"/>
    <w:rsid w:val="00C2299E"/>
    <w:rsid w:val="00C22A7A"/>
    <w:rsid w:val="00C22BC0"/>
    <w:rsid w:val="00C236C2"/>
    <w:rsid w:val="00C236CC"/>
    <w:rsid w:val="00C23AC8"/>
    <w:rsid w:val="00C23DA2"/>
    <w:rsid w:val="00C23DD2"/>
    <w:rsid w:val="00C241A5"/>
    <w:rsid w:val="00C24F9C"/>
    <w:rsid w:val="00C25860"/>
    <w:rsid w:val="00C25EDE"/>
    <w:rsid w:val="00C266A6"/>
    <w:rsid w:val="00C266E1"/>
    <w:rsid w:val="00C26928"/>
    <w:rsid w:val="00C26957"/>
    <w:rsid w:val="00C26A74"/>
    <w:rsid w:val="00C26B4A"/>
    <w:rsid w:val="00C271A6"/>
    <w:rsid w:val="00C275A2"/>
    <w:rsid w:val="00C27618"/>
    <w:rsid w:val="00C27B54"/>
    <w:rsid w:val="00C27C2A"/>
    <w:rsid w:val="00C305CD"/>
    <w:rsid w:val="00C30922"/>
    <w:rsid w:val="00C30B00"/>
    <w:rsid w:val="00C31105"/>
    <w:rsid w:val="00C31520"/>
    <w:rsid w:val="00C31998"/>
    <w:rsid w:val="00C31B13"/>
    <w:rsid w:val="00C31B81"/>
    <w:rsid w:val="00C31BE2"/>
    <w:rsid w:val="00C31E01"/>
    <w:rsid w:val="00C31E2E"/>
    <w:rsid w:val="00C321A3"/>
    <w:rsid w:val="00C3232F"/>
    <w:rsid w:val="00C32393"/>
    <w:rsid w:val="00C326CD"/>
    <w:rsid w:val="00C32E9C"/>
    <w:rsid w:val="00C3329E"/>
    <w:rsid w:val="00C33B65"/>
    <w:rsid w:val="00C33B75"/>
    <w:rsid w:val="00C33D0B"/>
    <w:rsid w:val="00C33D4D"/>
    <w:rsid w:val="00C349DF"/>
    <w:rsid w:val="00C353D7"/>
    <w:rsid w:val="00C3557B"/>
    <w:rsid w:val="00C35C95"/>
    <w:rsid w:val="00C36179"/>
    <w:rsid w:val="00C36872"/>
    <w:rsid w:val="00C36EC1"/>
    <w:rsid w:val="00C3712D"/>
    <w:rsid w:val="00C372AA"/>
    <w:rsid w:val="00C379F1"/>
    <w:rsid w:val="00C40453"/>
    <w:rsid w:val="00C4051C"/>
    <w:rsid w:val="00C40852"/>
    <w:rsid w:val="00C40ABE"/>
    <w:rsid w:val="00C40B17"/>
    <w:rsid w:val="00C40C83"/>
    <w:rsid w:val="00C416AE"/>
    <w:rsid w:val="00C41C1C"/>
    <w:rsid w:val="00C41E9A"/>
    <w:rsid w:val="00C424D9"/>
    <w:rsid w:val="00C42EA6"/>
    <w:rsid w:val="00C43391"/>
    <w:rsid w:val="00C433C8"/>
    <w:rsid w:val="00C43728"/>
    <w:rsid w:val="00C43B44"/>
    <w:rsid w:val="00C44063"/>
    <w:rsid w:val="00C448B9"/>
    <w:rsid w:val="00C44AF2"/>
    <w:rsid w:val="00C44B20"/>
    <w:rsid w:val="00C45142"/>
    <w:rsid w:val="00C45332"/>
    <w:rsid w:val="00C45C44"/>
    <w:rsid w:val="00C4676B"/>
    <w:rsid w:val="00C46DAA"/>
    <w:rsid w:val="00C46F1E"/>
    <w:rsid w:val="00C4737D"/>
    <w:rsid w:val="00C473F9"/>
    <w:rsid w:val="00C47505"/>
    <w:rsid w:val="00C47698"/>
    <w:rsid w:val="00C47951"/>
    <w:rsid w:val="00C500ED"/>
    <w:rsid w:val="00C50270"/>
    <w:rsid w:val="00C50501"/>
    <w:rsid w:val="00C50623"/>
    <w:rsid w:val="00C5067B"/>
    <w:rsid w:val="00C506B1"/>
    <w:rsid w:val="00C50872"/>
    <w:rsid w:val="00C50D0C"/>
    <w:rsid w:val="00C50DC7"/>
    <w:rsid w:val="00C50FDB"/>
    <w:rsid w:val="00C51044"/>
    <w:rsid w:val="00C5124A"/>
    <w:rsid w:val="00C513B7"/>
    <w:rsid w:val="00C5191A"/>
    <w:rsid w:val="00C51C38"/>
    <w:rsid w:val="00C51DB9"/>
    <w:rsid w:val="00C51DF8"/>
    <w:rsid w:val="00C52871"/>
    <w:rsid w:val="00C52BB0"/>
    <w:rsid w:val="00C52ED6"/>
    <w:rsid w:val="00C535AF"/>
    <w:rsid w:val="00C538C4"/>
    <w:rsid w:val="00C53D28"/>
    <w:rsid w:val="00C53EA9"/>
    <w:rsid w:val="00C542F1"/>
    <w:rsid w:val="00C543B6"/>
    <w:rsid w:val="00C54CC2"/>
    <w:rsid w:val="00C54E18"/>
    <w:rsid w:val="00C55280"/>
    <w:rsid w:val="00C558E3"/>
    <w:rsid w:val="00C55BF5"/>
    <w:rsid w:val="00C55F9A"/>
    <w:rsid w:val="00C56238"/>
    <w:rsid w:val="00C562EF"/>
    <w:rsid w:val="00C5640D"/>
    <w:rsid w:val="00C56D09"/>
    <w:rsid w:val="00C56D32"/>
    <w:rsid w:val="00C56E99"/>
    <w:rsid w:val="00C6011F"/>
    <w:rsid w:val="00C60747"/>
    <w:rsid w:val="00C60BBA"/>
    <w:rsid w:val="00C6167A"/>
    <w:rsid w:val="00C61728"/>
    <w:rsid w:val="00C617AF"/>
    <w:rsid w:val="00C61BD8"/>
    <w:rsid w:val="00C61C2D"/>
    <w:rsid w:val="00C62419"/>
    <w:rsid w:val="00C6248E"/>
    <w:rsid w:val="00C629EE"/>
    <w:rsid w:val="00C62C8C"/>
    <w:rsid w:val="00C636FF"/>
    <w:rsid w:val="00C6381E"/>
    <w:rsid w:val="00C63ADD"/>
    <w:rsid w:val="00C63BB3"/>
    <w:rsid w:val="00C64180"/>
    <w:rsid w:val="00C646FA"/>
    <w:rsid w:val="00C64C98"/>
    <w:rsid w:val="00C653CD"/>
    <w:rsid w:val="00C65689"/>
    <w:rsid w:val="00C660BE"/>
    <w:rsid w:val="00C66210"/>
    <w:rsid w:val="00C66734"/>
    <w:rsid w:val="00C668EA"/>
    <w:rsid w:val="00C66C9C"/>
    <w:rsid w:val="00C66F10"/>
    <w:rsid w:val="00C672A9"/>
    <w:rsid w:val="00C7078C"/>
    <w:rsid w:val="00C711AD"/>
    <w:rsid w:val="00C711E4"/>
    <w:rsid w:val="00C713B3"/>
    <w:rsid w:val="00C71E8C"/>
    <w:rsid w:val="00C71FA4"/>
    <w:rsid w:val="00C721AF"/>
    <w:rsid w:val="00C72205"/>
    <w:rsid w:val="00C724F7"/>
    <w:rsid w:val="00C72A2D"/>
    <w:rsid w:val="00C72BFA"/>
    <w:rsid w:val="00C7433C"/>
    <w:rsid w:val="00C74342"/>
    <w:rsid w:val="00C74547"/>
    <w:rsid w:val="00C74605"/>
    <w:rsid w:val="00C74A69"/>
    <w:rsid w:val="00C75210"/>
    <w:rsid w:val="00C75789"/>
    <w:rsid w:val="00C75922"/>
    <w:rsid w:val="00C75A6C"/>
    <w:rsid w:val="00C75D7B"/>
    <w:rsid w:val="00C75EFF"/>
    <w:rsid w:val="00C763E7"/>
    <w:rsid w:val="00C76B1B"/>
    <w:rsid w:val="00C76F4E"/>
    <w:rsid w:val="00C77090"/>
    <w:rsid w:val="00C773B9"/>
    <w:rsid w:val="00C77B5F"/>
    <w:rsid w:val="00C80244"/>
    <w:rsid w:val="00C80652"/>
    <w:rsid w:val="00C808CB"/>
    <w:rsid w:val="00C81FC4"/>
    <w:rsid w:val="00C8220D"/>
    <w:rsid w:val="00C82360"/>
    <w:rsid w:val="00C829EF"/>
    <w:rsid w:val="00C82F80"/>
    <w:rsid w:val="00C83248"/>
    <w:rsid w:val="00C8426E"/>
    <w:rsid w:val="00C84804"/>
    <w:rsid w:val="00C84911"/>
    <w:rsid w:val="00C84D43"/>
    <w:rsid w:val="00C8543C"/>
    <w:rsid w:val="00C85AA4"/>
    <w:rsid w:val="00C85B74"/>
    <w:rsid w:val="00C85F3A"/>
    <w:rsid w:val="00C865FF"/>
    <w:rsid w:val="00C86765"/>
    <w:rsid w:val="00C86852"/>
    <w:rsid w:val="00C86CA2"/>
    <w:rsid w:val="00C86D1B"/>
    <w:rsid w:val="00C86D20"/>
    <w:rsid w:val="00C86FC1"/>
    <w:rsid w:val="00C8734D"/>
    <w:rsid w:val="00C87534"/>
    <w:rsid w:val="00C90023"/>
    <w:rsid w:val="00C901E3"/>
    <w:rsid w:val="00C902D6"/>
    <w:rsid w:val="00C90A78"/>
    <w:rsid w:val="00C90EE8"/>
    <w:rsid w:val="00C91BA5"/>
    <w:rsid w:val="00C91DC4"/>
    <w:rsid w:val="00C921AA"/>
    <w:rsid w:val="00C92AD5"/>
    <w:rsid w:val="00C93096"/>
    <w:rsid w:val="00C936C5"/>
    <w:rsid w:val="00C939B3"/>
    <w:rsid w:val="00C939D7"/>
    <w:rsid w:val="00C93BD1"/>
    <w:rsid w:val="00C93F7A"/>
    <w:rsid w:val="00C94D90"/>
    <w:rsid w:val="00C94FB7"/>
    <w:rsid w:val="00C95335"/>
    <w:rsid w:val="00C9542D"/>
    <w:rsid w:val="00C95611"/>
    <w:rsid w:val="00C95C46"/>
    <w:rsid w:val="00C96222"/>
    <w:rsid w:val="00C96490"/>
    <w:rsid w:val="00C96AC4"/>
    <w:rsid w:val="00C97046"/>
    <w:rsid w:val="00C97052"/>
    <w:rsid w:val="00C9726B"/>
    <w:rsid w:val="00C9726F"/>
    <w:rsid w:val="00C97407"/>
    <w:rsid w:val="00C9744D"/>
    <w:rsid w:val="00C974C6"/>
    <w:rsid w:val="00C9764A"/>
    <w:rsid w:val="00CA0427"/>
    <w:rsid w:val="00CA07A4"/>
    <w:rsid w:val="00CA0F29"/>
    <w:rsid w:val="00CA10DB"/>
    <w:rsid w:val="00CA17A9"/>
    <w:rsid w:val="00CA1887"/>
    <w:rsid w:val="00CA191E"/>
    <w:rsid w:val="00CA1A00"/>
    <w:rsid w:val="00CA1ABA"/>
    <w:rsid w:val="00CA24D8"/>
    <w:rsid w:val="00CA310B"/>
    <w:rsid w:val="00CA35FE"/>
    <w:rsid w:val="00CA3CF6"/>
    <w:rsid w:val="00CA4441"/>
    <w:rsid w:val="00CA453A"/>
    <w:rsid w:val="00CA46AE"/>
    <w:rsid w:val="00CA496E"/>
    <w:rsid w:val="00CA5B5B"/>
    <w:rsid w:val="00CA5B72"/>
    <w:rsid w:val="00CA5C56"/>
    <w:rsid w:val="00CA609C"/>
    <w:rsid w:val="00CA690F"/>
    <w:rsid w:val="00CA7893"/>
    <w:rsid w:val="00CA78FE"/>
    <w:rsid w:val="00CB0396"/>
    <w:rsid w:val="00CB040F"/>
    <w:rsid w:val="00CB1BAD"/>
    <w:rsid w:val="00CB1DA5"/>
    <w:rsid w:val="00CB2189"/>
    <w:rsid w:val="00CB28E2"/>
    <w:rsid w:val="00CB2BCA"/>
    <w:rsid w:val="00CB2D20"/>
    <w:rsid w:val="00CB3110"/>
    <w:rsid w:val="00CB343F"/>
    <w:rsid w:val="00CB35D2"/>
    <w:rsid w:val="00CB35DD"/>
    <w:rsid w:val="00CB3E53"/>
    <w:rsid w:val="00CB3EFC"/>
    <w:rsid w:val="00CB43FF"/>
    <w:rsid w:val="00CB46CB"/>
    <w:rsid w:val="00CB4BBE"/>
    <w:rsid w:val="00CB5A0C"/>
    <w:rsid w:val="00CB5CE7"/>
    <w:rsid w:val="00CB6113"/>
    <w:rsid w:val="00CB65E6"/>
    <w:rsid w:val="00CB69CA"/>
    <w:rsid w:val="00CB6C80"/>
    <w:rsid w:val="00CB6ECC"/>
    <w:rsid w:val="00CB72AF"/>
    <w:rsid w:val="00CB7B44"/>
    <w:rsid w:val="00CB7F4B"/>
    <w:rsid w:val="00CC0384"/>
    <w:rsid w:val="00CC0662"/>
    <w:rsid w:val="00CC06D4"/>
    <w:rsid w:val="00CC0A63"/>
    <w:rsid w:val="00CC0AA0"/>
    <w:rsid w:val="00CC0FC8"/>
    <w:rsid w:val="00CC1222"/>
    <w:rsid w:val="00CC14AC"/>
    <w:rsid w:val="00CC154F"/>
    <w:rsid w:val="00CC2441"/>
    <w:rsid w:val="00CC27C1"/>
    <w:rsid w:val="00CC2954"/>
    <w:rsid w:val="00CC29D4"/>
    <w:rsid w:val="00CC2B9C"/>
    <w:rsid w:val="00CC2E22"/>
    <w:rsid w:val="00CC3514"/>
    <w:rsid w:val="00CC3706"/>
    <w:rsid w:val="00CC387B"/>
    <w:rsid w:val="00CC3CAA"/>
    <w:rsid w:val="00CC3E27"/>
    <w:rsid w:val="00CC3F1A"/>
    <w:rsid w:val="00CC411B"/>
    <w:rsid w:val="00CC5270"/>
    <w:rsid w:val="00CC546E"/>
    <w:rsid w:val="00CC55DC"/>
    <w:rsid w:val="00CC5B48"/>
    <w:rsid w:val="00CC5D45"/>
    <w:rsid w:val="00CC60F3"/>
    <w:rsid w:val="00CC6E8F"/>
    <w:rsid w:val="00CC7309"/>
    <w:rsid w:val="00CC7E3D"/>
    <w:rsid w:val="00CD0329"/>
    <w:rsid w:val="00CD03E8"/>
    <w:rsid w:val="00CD0A31"/>
    <w:rsid w:val="00CD0B69"/>
    <w:rsid w:val="00CD1A53"/>
    <w:rsid w:val="00CD279D"/>
    <w:rsid w:val="00CD2B5C"/>
    <w:rsid w:val="00CD2DF8"/>
    <w:rsid w:val="00CD2EA5"/>
    <w:rsid w:val="00CD31DA"/>
    <w:rsid w:val="00CD39C2"/>
    <w:rsid w:val="00CD4250"/>
    <w:rsid w:val="00CD469A"/>
    <w:rsid w:val="00CD484D"/>
    <w:rsid w:val="00CD494D"/>
    <w:rsid w:val="00CD5036"/>
    <w:rsid w:val="00CD54AE"/>
    <w:rsid w:val="00CD6080"/>
    <w:rsid w:val="00CD6143"/>
    <w:rsid w:val="00CD6594"/>
    <w:rsid w:val="00CD6B95"/>
    <w:rsid w:val="00CD6BA5"/>
    <w:rsid w:val="00CD6C63"/>
    <w:rsid w:val="00CD71C5"/>
    <w:rsid w:val="00CD733E"/>
    <w:rsid w:val="00CD7CF2"/>
    <w:rsid w:val="00CE0858"/>
    <w:rsid w:val="00CE0A36"/>
    <w:rsid w:val="00CE0B98"/>
    <w:rsid w:val="00CE0D19"/>
    <w:rsid w:val="00CE0FFB"/>
    <w:rsid w:val="00CE1245"/>
    <w:rsid w:val="00CE1398"/>
    <w:rsid w:val="00CE1938"/>
    <w:rsid w:val="00CE1BD5"/>
    <w:rsid w:val="00CE1CBF"/>
    <w:rsid w:val="00CE1FEF"/>
    <w:rsid w:val="00CE2040"/>
    <w:rsid w:val="00CE2230"/>
    <w:rsid w:val="00CE2573"/>
    <w:rsid w:val="00CE2FFA"/>
    <w:rsid w:val="00CE32AF"/>
    <w:rsid w:val="00CE4691"/>
    <w:rsid w:val="00CE49D6"/>
    <w:rsid w:val="00CE57C9"/>
    <w:rsid w:val="00CE5F48"/>
    <w:rsid w:val="00CE5F80"/>
    <w:rsid w:val="00CE6180"/>
    <w:rsid w:val="00CE645B"/>
    <w:rsid w:val="00CE6A97"/>
    <w:rsid w:val="00CE6FAD"/>
    <w:rsid w:val="00CE775D"/>
    <w:rsid w:val="00CE7927"/>
    <w:rsid w:val="00CE7CD1"/>
    <w:rsid w:val="00CF0221"/>
    <w:rsid w:val="00CF07A2"/>
    <w:rsid w:val="00CF0C09"/>
    <w:rsid w:val="00CF1680"/>
    <w:rsid w:val="00CF1703"/>
    <w:rsid w:val="00CF1D17"/>
    <w:rsid w:val="00CF230A"/>
    <w:rsid w:val="00CF269B"/>
    <w:rsid w:val="00CF2A0B"/>
    <w:rsid w:val="00CF2CD0"/>
    <w:rsid w:val="00CF2EFD"/>
    <w:rsid w:val="00CF337D"/>
    <w:rsid w:val="00CF341A"/>
    <w:rsid w:val="00CF3781"/>
    <w:rsid w:val="00CF38A7"/>
    <w:rsid w:val="00CF3952"/>
    <w:rsid w:val="00CF3F04"/>
    <w:rsid w:val="00CF41BB"/>
    <w:rsid w:val="00CF452A"/>
    <w:rsid w:val="00CF4B3E"/>
    <w:rsid w:val="00CF4C1B"/>
    <w:rsid w:val="00CF4EAF"/>
    <w:rsid w:val="00CF4F19"/>
    <w:rsid w:val="00CF53B9"/>
    <w:rsid w:val="00CF5528"/>
    <w:rsid w:val="00CF5567"/>
    <w:rsid w:val="00CF571E"/>
    <w:rsid w:val="00CF5AE8"/>
    <w:rsid w:val="00CF5D16"/>
    <w:rsid w:val="00CF6312"/>
    <w:rsid w:val="00CF67A6"/>
    <w:rsid w:val="00CF6C78"/>
    <w:rsid w:val="00CF6E91"/>
    <w:rsid w:val="00CF741F"/>
    <w:rsid w:val="00CF79A9"/>
    <w:rsid w:val="00CF7BC0"/>
    <w:rsid w:val="00CF7D78"/>
    <w:rsid w:val="00CF7EFE"/>
    <w:rsid w:val="00D005E6"/>
    <w:rsid w:val="00D009C5"/>
    <w:rsid w:val="00D00AAD"/>
    <w:rsid w:val="00D00B38"/>
    <w:rsid w:val="00D00C00"/>
    <w:rsid w:val="00D01168"/>
    <w:rsid w:val="00D012EA"/>
    <w:rsid w:val="00D0171F"/>
    <w:rsid w:val="00D01CA5"/>
    <w:rsid w:val="00D020EB"/>
    <w:rsid w:val="00D02935"/>
    <w:rsid w:val="00D02EC3"/>
    <w:rsid w:val="00D02FB0"/>
    <w:rsid w:val="00D031D2"/>
    <w:rsid w:val="00D03242"/>
    <w:rsid w:val="00D03399"/>
    <w:rsid w:val="00D03744"/>
    <w:rsid w:val="00D03AC3"/>
    <w:rsid w:val="00D04113"/>
    <w:rsid w:val="00D04F94"/>
    <w:rsid w:val="00D0515D"/>
    <w:rsid w:val="00D0525D"/>
    <w:rsid w:val="00D05280"/>
    <w:rsid w:val="00D054DE"/>
    <w:rsid w:val="00D055A3"/>
    <w:rsid w:val="00D0592B"/>
    <w:rsid w:val="00D06105"/>
    <w:rsid w:val="00D0634E"/>
    <w:rsid w:val="00D06B2A"/>
    <w:rsid w:val="00D06E28"/>
    <w:rsid w:val="00D07467"/>
    <w:rsid w:val="00D0760C"/>
    <w:rsid w:val="00D07ADA"/>
    <w:rsid w:val="00D1004D"/>
    <w:rsid w:val="00D102DB"/>
    <w:rsid w:val="00D10636"/>
    <w:rsid w:val="00D10820"/>
    <w:rsid w:val="00D1135C"/>
    <w:rsid w:val="00D118B7"/>
    <w:rsid w:val="00D11A4A"/>
    <w:rsid w:val="00D11AB7"/>
    <w:rsid w:val="00D11EA7"/>
    <w:rsid w:val="00D1212A"/>
    <w:rsid w:val="00D12A55"/>
    <w:rsid w:val="00D13156"/>
    <w:rsid w:val="00D1331B"/>
    <w:rsid w:val="00D1366F"/>
    <w:rsid w:val="00D13785"/>
    <w:rsid w:val="00D1382C"/>
    <w:rsid w:val="00D14D91"/>
    <w:rsid w:val="00D15189"/>
    <w:rsid w:val="00D15230"/>
    <w:rsid w:val="00D1538D"/>
    <w:rsid w:val="00D15638"/>
    <w:rsid w:val="00D15757"/>
    <w:rsid w:val="00D15811"/>
    <w:rsid w:val="00D159BD"/>
    <w:rsid w:val="00D16841"/>
    <w:rsid w:val="00D16C5D"/>
    <w:rsid w:val="00D17018"/>
    <w:rsid w:val="00D172B6"/>
    <w:rsid w:val="00D179D9"/>
    <w:rsid w:val="00D200FB"/>
    <w:rsid w:val="00D20247"/>
    <w:rsid w:val="00D2070B"/>
    <w:rsid w:val="00D20EF1"/>
    <w:rsid w:val="00D20F8D"/>
    <w:rsid w:val="00D21212"/>
    <w:rsid w:val="00D21E7D"/>
    <w:rsid w:val="00D22DEF"/>
    <w:rsid w:val="00D237E9"/>
    <w:rsid w:val="00D2419B"/>
    <w:rsid w:val="00D2424B"/>
    <w:rsid w:val="00D2469A"/>
    <w:rsid w:val="00D2498D"/>
    <w:rsid w:val="00D25465"/>
    <w:rsid w:val="00D25D43"/>
    <w:rsid w:val="00D260EB"/>
    <w:rsid w:val="00D26122"/>
    <w:rsid w:val="00D26CA8"/>
    <w:rsid w:val="00D26F01"/>
    <w:rsid w:val="00D2731E"/>
    <w:rsid w:val="00D275FE"/>
    <w:rsid w:val="00D2785C"/>
    <w:rsid w:val="00D27BD5"/>
    <w:rsid w:val="00D27C8B"/>
    <w:rsid w:val="00D27F4F"/>
    <w:rsid w:val="00D27F55"/>
    <w:rsid w:val="00D30040"/>
    <w:rsid w:val="00D301C2"/>
    <w:rsid w:val="00D306CC"/>
    <w:rsid w:val="00D30A59"/>
    <w:rsid w:val="00D30B72"/>
    <w:rsid w:val="00D310B2"/>
    <w:rsid w:val="00D311CF"/>
    <w:rsid w:val="00D31818"/>
    <w:rsid w:val="00D31E98"/>
    <w:rsid w:val="00D3204F"/>
    <w:rsid w:val="00D332B9"/>
    <w:rsid w:val="00D33316"/>
    <w:rsid w:val="00D3335A"/>
    <w:rsid w:val="00D3358C"/>
    <w:rsid w:val="00D33895"/>
    <w:rsid w:val="00D33C42"/>
    <w:rsid w:val="00D33CE2"/>
    <w:rsid w:val="00D33CEE"/>
    <w:rsid w:val="00D33DDA"/>
    <w:rsid w:val="00D34104"/>
    <w:rsid w:val="00D3450B"/>
    <w:rsid w:val="00D34F7E"/>
    <w:rsid w:val="00D3508F"/>
    <w:rsid w:val="00D35419"/>
    <w:rsid w:val="00D35823"/>
    <w:rsid w:val="00D35E03"/>
    <w:rsid w:val="00D3607E"/>
    <w:rsid w:val="00D36401"/>
    <w:rsid w:val="00D3663F"/>
    <w:rsid w:val="00D37188"/>
    <w:rsid w:val="00D375C2"/>
    <w:rsid w:val="00D37F80"/>
    <w:rsid w:val="00D40309"/>
    <w:rsid w:val="00D40939"/>
    <w:rsid w:val="00D40C21"/>
    <w:rsid w:val="00D40DCF"/>
    <w:rsid w:val="00D410BA"/>
    <w:rsid w:val="00D41F52"/>
    <w:rsid w:val="00D4206A"/>
    <w:rsid w:val="00D420CE"/>
    <w:rsid w:val="00D423E5"/>
    <w:rsid w:val="00D4257B"/>
    <w:rsid w:val="00D425CD"/>
    <w:rsid w:val="00D43280"/>
    <w:rsid w:val="00D432F8"/>
    <w:rsid w:val="00D434C5"/>
    <w:rsid w:val="00D43723"/>
    <w:rsid w:val="00D445A2"/>
    <w:rsid w:val="00D44C1A"/>
    <w:rsid w:val="00D455D7"/>
    <w:rsid w:val="00D4699C"/>
    <w:rsid w:val="00D471C3"/>
    <w:rsid w:val="00D47287"/>
    <w:rsid w:val="00D475B2"/>
    <w:rsid w:val="00D47C4A"/>
    <w:rsid w:val="00D47D3C"/>
    <w:rsid w:val="00D5038B"/>
    <w:rsid w:val="00D51027"/>
    <w:rsid w:val="00D5115D"/>
    <w:rsid w:val="00D5118C"/>
    <w:rsid w:val="00D51ECE"/>
    <w:rsid w:val="00D52358"/>
    <w:rsid w:val="00D526E9"/>
    <w:rsid w:val="00D53345"/>
    <w:rsid w:val="00D53439"/>
    <w:rsid w:val="00D5348B"/>
    <w:rsid w:val="00D53C30"/>
    <w:rsid w:val="00D53F43"/>
    <w:rsid w:val="00D54176"/>
    <w:rsid w:val="00D541B1"/>
    <w:rsid w:val="00D5470A"/>
    <w:rsid w:val="00D54906"/>
    <w:rsid w:val="00D549B7"/>
    <w:rsid w:val="00D55104"/>
    <w:rsid w:val="00D55270"/>
    <w:rsid w:val="00D55287"/>
    <w:rsid w:val="00D55406"/>
    <w:rsid w:val="00D55BFB"/>
    <w:rsid w:val="00D55C5F"/>
    <w:rsid w:val="00D56A45"/>
    <w:rsid w:val="00D56CEA"/>
    <w:rsid w:val="00D60456"/>
    <w:rsid w:val="00D6084E"/>
    <w:rsid w:val="00D61192"/>
    <w:rsid w:val="00D61401"/>
    <w:rsid w:val="00D61502"/>
    <w:rsid w:val="00D61A2D"/>
    <w:rsid w:val="00D61C6F"/>
    <w:rsid w:val="00D61FFC"/>
    <w:rsid w:val="00D62004"/>
    <w:rsid w:val="00D62064"/>
    <w:rsid w:val="00D620EC"/>
    <w:rsid w:val="00D6320A"/>
    <w:rsid w:val="00D63643"/>
    <w:rsid w:val="00D63898"/>
    <w:rsid w:val="00D6392A"/>
    <w:rsid w:val="00D639A6"/>
    <w:rsid w:val="00D63BB8"/>
    <w:rsid w:val="00D63D75"/>
    <w:rsid w:val="00D64111"/>
    <w:rsid w:val="00D64550"/>
    <w:rsid w:val="00D64884"/>
    <w:rsid w:val="00D64BBB"/>
    <w:rsid w:val="00D6524B"/>
    <w:rsid w:val="00D65276"/>
    <w:rsid w:val="00D65473"/>
    <w:rsid w:val="00D65D11"/>
    <w:rsid w:val="00D65D26"/>
    <w:rsid w:val="00D661DE"/>
    <w:rsid w:val="00D66F68"/>
    <w:rsid w:val="00D67163"/>
    <w:rsid w:val="00D675E2"/>
    <w:rsid w:val="00D679F1"/>
    <w:rsid w:val="00D67BC1"/>
    <w:rsid w:val="00D67E4A"/>
    <w:rsid w:val="00D67F9A"/>
    <w:rsid w:val="00D7006B"/>
    <w:rsid w:val="00D70134"/>
    <w:rsid w:val="00D7025C"/>
    <w:rsid w:val="00D7092F"/>
    <w:rsid w:val="00D71180"/>
    <w:rsid w:val="00D71370"/>
    <w:rsid w:val="00D724B9"/>
    <w:rsid w:val="00D724F6"/>
    <w:rsid w:val="00D7287E"/>
    <w:rsid w:val="00D72E47"/>
    <w:rsid w:val="00D73004"/>
    <w:rsid w:val="00D7333C"/>
    <w:rsid w:val="00D7363B"/>
    <w:rsid w:val="00D73869"/>
    <w:rsid w:val="00D73C45"/>
    <w:rsid w:val="00D7496E"/>
    <w:rsid w:val="00D74A50"/>
    <w:rsid w:val="00D75311"/>
    <w:rsid w:val="00D7549D"/>
    <w:rsid w:val="00D75564"/>
    <w:rsid w:val="00D757EE"/>
    <w:rsid w:val="00D75830"/>
    <w:rsid w:val="00D75E26"/>
    <w:rsid w:val="00D75E3C"/>
    <w:rsid w:val="00D7614B"/>
    <w:rsid w:val="00D762C5"/>
    <w:rsid w:val="00D7684C"/>
    <w:rsid w:val="00D76C08"/>
    <w:rsid w:val="00D77522"/>
    <w:rsid w:val="00D80312"/>
    <w:rsid w:val="00D8149C"/>
    <w:rsid w:val="00D8156E"/>
    <w:rsid w:val="00D82084"/>
    <w:rsid w:val="00D8221E"/>
    <w:rsid w:val="00D828D6"/>
    <w:rsid w:val="00D82A59"/>
    <w:rsid w:val="00D82B39"/>
    <w:rsid w:val="00D8348F"/>
    <w:rsid w:val="00D8349C"/>
    <w:rsid w:val="00D836D9"/>
    <w:rsid w:val="00D83711"/>
    <w:rsid w:val="00D841A3"/>
    <w:rsid w:val="00D84537"/>
    <w:rsid w:val="00D8453F"/>
    <w:rsid w:val="00D846EA"/>
    <w:rsid w:val="00D848FF"/>
    <w:rsid w:val="00D84DAB"/>
    <w:rsid w:val="00D85748"/>
    <w:rsid w:val="00D857BF"/>
    <w:rsid w:val="00D85A93"/>
    <w:rsid w:val="00D85C6A"/>
    <w:rsid w:val="00D85F33"/>
    <w:rsid w:val="00D8656B"/>
    <w:rsid w:val="00D86681"/>
    <w:rsid w:val="00D86904"/>
    <w:rsid w:val="00D86B2F"/>
    <w:rsid w:val="00D875B3"/>
    <w:rsid w:val="00D87951"/>
    <w:rsid w:val="00D87A62"/>
    <w:rsid w:val="00D90A89"/>
    <w:rsid w:val="00D90F8A"/>
    <w:rsid w:val="00D91D70"/>
    <w:rsid w:val="00D9284D"/>
    <w:rsid w:val="00D93203"/>
    <w:rsid w:val="00D9326C"/>
    <w:rsid w:val="00D9411C"/>
    <w:rsid w:val="00D94340"/>
    <w:rsid w:val="00D94917"/>
    <w:rsid w:val="00D94E90"/>
    <w:rsid w:val="00D955F6"/>
    <w:rsid w:val="00D9574C"/>
    <w:rsid w:val="00D95836"/>
    <w:rsid w:val="00D9584B"/>
    <w:rsid w:val="00D958CF"/>
    <w:rsid w:val="00D958DC"/>
    <w:rsid w:val="00D95B4B"/>
    <w:rsid w:val="00D95FFA"/>
    <w:rsid w:val="00D96327"/>
    <w:rsid w:val="00D96850"/>
    <w:rsid w:val="00D96D6B"/>
    <w:rsid w:val="00D97230"/>
    <w:rsid w:val="00D97EB0"/>
    <w:rsid w:val="00DA003F"/>
    <w:rsid w:val="00DA0129"/>
    <w:rsid w:val="00DA278E"/>
    <w:rsid w:val="00DA3250"/>
    <w:rsid w:val="00DA354B"/>
    <w:rsid w:val="00DA3A9B"/>
    <w:rsid w:val="00DA3EC9"/>
    <w:rsid w:val="00DA4C0B"/>
    <w:rsid w:val="00DA4DDF"/>
    <w:rsid w:val="00DA4E13"/>
    <w:rsid w:val="00DA50D7"/>
    <w:rsid w:val="00DA5812"/>
    <w:rsid w:val="00DA5B03"/>
    <w:rsid w:val="00DA6084"/>
    <w:rsid w:val="00DA6458"/>
    <w:rsid w:val="00DA67FA"/>
    <w:rsid w:val="00DA69D0"/>
    <w:rsid w:val="00DA6D33"/>
    <w:rsid w:val="00DA6FBE"/>
    <w:rsid w:val="00DA756E"/>
    <w:rsid w:val="00DA7771"/>
    <w:rsid w:val="00DA7B3A"/>
    <w:rsid w:val="00DA7BC8"/>
    <w:rsid w:val="00DA7D8F"/>
    <w:rsid w:val="00DA7E5E"/>
    <w:rsid w:val="00DB008D"/>
    <w:rsid w:val="00DB0189"/>
    <w:rsid w:val="00DB056C"/>
    <w:rsid w:val="00DB0AF7"/>
    <w:rsid w:val="00DB0F37"/>
    <w:rsid w:val="00DB114C"/>
    <w:rsid w:val="00DB123C"/>
    <w:rsid w:val="00DB1580"/>
    <w:rsid w:val="00DB1BBE"/>
    <w:rsid w:val="00DB20D2"/>
    <w:rsid w:val="00DB254D"/>
    <w:rsid w:val="00DB2927"/>
    <w:rsid w:val="00DB2B84"/>
    <w:rsid w:val="00DB2EDC"/>
    <w:rsid w:val="00DB2F1E"/>
    <w:rsid w:val="00DB3332"/>
    <w:rsid w:val="00DB3360"/>
    <w:rsid w:val="00DB33DE"/>
    <w:rsid w:val="00DB35C1"/>
    <w:rsid w:val="00DB3ADE"/>
    <w:rsid w:val="00DB3CA5"/>
    <w:rsid w:val="00DB3E35"/>
    <w:rsid w:val="00DB41CF"/>
    <w:rsid w:val="00DB431A"/>
    <w:rsid w:val="00DB43E8"/>
    <w:rsid w:val="00DB441A"/>
    <w:rsid w:val="00DB463F"/>
    <w:rsid w:val="00DB468E"/>
    <w:rsid w:val="00DB4FE5"/>
    <w:rsid w:val="00DB50FF"/>
    <w:rsid w:val="00DB5280"/>
    <w:rsid w:val="00DB5507"/>
    <w:rsid w:val="00DB55E7"/>
    <w:rsid w:val="00DB6381"/>
    <w:rsid w:val="00DB643D"/>
    <w:rsid w:val="00DB65B9"/>
    <w:rsid w:val="00DB67F4"/>
    <w:rsid w:val="00DB69BF"/>
    <w:rsid w:val="00DB6DBD"/>
    <w:rsid w:val="00DB7279"/>
    <w:rsid w:val="00DB7437"/>
    <w:rsid w:val="00DB7573"/>
    <w:rsid w:val="00DB78D6"/>
    <w:rsid w:val="00DB79C3"/>
    <w:rsid w:val="00DB7DA3"/>
    <w:rsid w:val="00DC02C6"/>
    <w:rsid w:val="00DC08A6"/>
    <w:rsid w:val="00DC0CB9"/>
    <w:rsid w:val="00DC0D25"/>
    <w:rsid w:val="00DC0E06"/>
    <w:rsid w:val="00DC1858"/>
    <w:rsid w:val="00DC21D7"/>
    <w:rsid w:val="00DC2AFF"/>
    <w:rsid w:val="00DC2E25"/>
    <w:rsid w:val="00DC3249"/>
    <w:rsid w:val="00DC337A"/>
    <w:rsid w:val="00DC3412"/>
    <w:rsid w:val="00DC3AB3"/>
    <w:rsid w:val="00DC3D06"/>
    <w:rsid w:val="00DC3E7B"/>
    <w:rsid w:val="00DC4F95"/>
    <w:rsid w:val="00DC51D3"/>
    <w:rsid w:val="00DC580C"/>
    <w:rsid w:val="00DC5C09"/>
    <w:rsid w:val="00DC5DC1"/>
    <w:rsid w:val="00DC6954"/>
    <w:rsid w:val="00DC69F0"/>
    <w:rsid w:val="00DC79A9"/>
    <w:rsid w:val="00DC7AD4"/>
    <w:rsid w:val="00DD006F"/>
    <w:rsid w:val="00DD0618"/>
    <w:rsid w:val="00DD1163"/>
    <w:rsid w:val="00DD12A4"/>
    <w:rsid w:val="00DD14EE"/>
    <w:rsid w:val="00DD220F"/>
    <w:rsid w:val="00DD2321"/>
    <w:rsid w:val="00DD2652"/>
    <w:rsid w:val="00DD26BF"/>
    <w:rsid w:val="00DD2A00"/>
    <w:rsid w:val="00DD2B08"/>
    <w:rsid w:val="00DD2E01"/>
    <w:rsid w:val="00DD33E4"/>
    <w:rsid w:val="00DD3837"/>
    <w:rsid w:val="00DD38EC"/>
    <w:rsid w:val="00DD3901"/>
    <w:rsid w:val="00DD3C0E"/>
    <w:rsid w:val="00DD3D8C"/>
    <w:rsid w:val="00DD4CC2"/>
    <w:rsid w:val="00DD4EAC"/>
    <w:rsid w:val="00DD4FD4"/>
    <w:rsid w:val="00DD573E"/>
    <w:rsid w:val="00DD593A"/>
    <w:rsid w:val="00DD5BD0"/>
    <w:rsid w:val="00DD656D"/>
    <w:rsid w:val="00DD6D24"/>
    <w:rsid w:val="00DD73A0"/>
    <w:rsid w:val="00DD7DE7"/>
    <w:rsid w:val="00DE008E"/>
    <w:rsid w:val="00DE0311"/>
    <w:rsid w:val="00DE0BB9"/>
    <w:rsid w:val="00DE0D97"/>
    <w:rsid w:val="00DE15EF"/>
    <w:rsid w:val="00DE1768"/>
    <w:rsid w:val="00DE1B35"/>
    <w:rsid w:val="00DE1C52"/>
    <w:rsid w:val="00DE1F07"/>
    <w:rsid w:val="00DE2787"/>
    <w:rsid w:val="00DE2E54"/>
    <w:rsid w:val="00DE33F0"/>
    <w:rsid w:val="00DE375E"/>
    <w:rsid w:val="00DE4347"/>
    <w:rsid w:val="00DE43A6"/>
    <w:rsid w:val="00DE5130"/>
    <w:rsid w:val="00DE5A90"/>
    <w:rsid w:val="00DE62C9"/>
    <w:rsid w:val="00DE6362"/>
    <w:rsid w:val="00DE66D8"/>
    <w:rsid w:val="00DE69F1"/>
    <w:rsid w:val="00DE6D38"/>
    <w:rsid w:val="00DE7680"/>
    <w:rsid w:val="00DF01DE"/>
    <w:rsid w:val="00DF04E3"/>
    <w:rsid w:val="00DF083A"/>
    <w:rsid w:val="00DF0855"/>
    <w:rsid w:val="00DF1031"/>
    <w:rsid w:val="00DF1711"/>
    <w:rsid w:val="00DF172E"/>
    <w:rsid w:val="00DF198B"/>
    <w:rsid w:val="00DF1F25"/>
    <w:rsid w:val="00DF2025"/>
    <w:rsid w:val="00DF21FE"/>
    <w:rsid w:val="00DF235A"/>
    <w:rsid w:val="00DF2738"/>
    <w:rsid w:val="00DF2818"/>
    <w:rsid w:val="00DF289B"/>
    <w:rsid w:val="00DF2AFA"/>
    <w:rsid w:val="00DF3014"/>
    <w:rsid w:val="00DF3128"/>
    <w:rsid w:val="00DF36D0"/>
    <w:rsid w:val="00DF3824"/>
    <w:rsid w:val="00DF3FFD"/>
    <w:rsid w:val="00DF44D6"/>
    <w:rsid w:val="00DF4C52"/>
    <w:rsid w:val="00DF4D83"/>
    <w:rsid w:val="00DF5129"/>
    <w:rsid w:val="00DF57F7"/>
    <w:rsid w:val="00DF5A2B"/>
    <w:rsid w:val="00DF5E0D"/>
    <w:rsid w:val="00DF5EAF"/>
    <w:rsid w:val="00DF6029"/>
    <w:rsid w:val="00DF60D2"/>
    <w:rsid w:val="00DF6ACD"/>
    <w:rsid w:val="00DF6CFD"/>
    <w:rsid w:val="00DF6DD6"/>
    <w:rsid w:val="00DF6ECC"/>
    <w:rsid w:val="00DF6EE1"/>
    <w:rsid w:val="00DF6EE6"/>
    <w:rsid w:val="00DF6F0B"/>
    <w:rsid w:val="00DF71A8"/>
    <w:rsid w:val="00DF79D3"/>
    <w:rsid w:val="00E0062F"/>
    <w:rsid w:val="00E006B7"/>
    <w:rsid w:val="00E00B2E"/>
    <w:rsid w:val="00E0159F"/>
    <w:rsid w:val="00E02420"/>
    <w:rsid w:val="00E02851"/>
    <w:rsid w:val="00E0299B"/>
    <w:rsid w:val="00E02C24"/>
    <w:rsid w:val="00E032B2"/>
    <w:rsid w:val="00E0338B"/>
    <w:rsid w:val="00E033D8"/>
    <w:rsid w:val="00E035AC"/>
    <w:rsid w:val="00E03EDF"/>
    <w:rsid w:val="00E04513"/>
    <w:rsid w:val="00E04BED"/>
    <w:rsid w:val="00E04BF0"/>
    <w:rsid w:val="00E04C07"/>
    <w:rsid w:val="00E04CF4"/>
    <w:rsid w:val="00E04DA0"/>
    <w:rsid w:val="00E04F3D"/>
    <w:rsid w:val="00E04F65"/>
    <w:rsid w:val="00E054A9"/>
    <w:rsid w:val="00E055BC"/>
    <w:rsid w:val="00E056D3"/>
    <w:rsid w:val="00E05871"/>
    <w:rsid w:val="00E059AB"/>
    <w:rsid w:val="00E05D52"/>
    <w:rsid w:val="00E06448"/>
    <w:rsid w:val="00E069DD"/>
    <w:rsid w:val="00E06A62"/>
    <w:rsid w:val="00E06D55"/>
    <w:rsid w:val="00E0719F"/>
    <w:rsid w:val="00E07DA5"/>
    <w:rsid w:val="00E105FF"/>
    <w:rsid w:val="00E10A50"/>
    <w:rsid w:val="00E10F16"/>
    <w:rsid w:val="00E1136F"/>
    <w:rsid w:val="00E11823"/>
    <w:rsid w:val="00E120B5"/>
    <w:rsid w:val="00E12591"/>
    <w:rsid w:val="00E12747"/>
    <w:rsid w:val="00E127DC"/>
    <w:rsid w:val="00E12CA1"/>
    <w:rsid w:val="00E13527"/>
    <w:rsid w:val="00E135B4"/>
    <w:rsid w:val="00E1383A"/>
    <w:rsid w:val="00E1387E"/>
    <w:rsid w:val="00E14423"/>
    <w:rsid w:val="00E144C6"/>
    <w:rsid w:val="00E14733"/>
    <w:rsid w:val="00E14C40"/>
    <w:rsid w:val="00E14CD0"/>
    <w:rsid w:val="00E14E00"/>
    <w:rsid w:val="00E14ED7"/>
    <w:rsid w:val="00E15296"/>
    <w:rsid w:val="00E15588"/>
    <w:rsid w:val="00E15F45"/>
    <w:rsid w:val="00E16032"/>
    <w:rsid w:val="00E16620"/>
    <w:rsid w:val="00E16B24"/>
    <w:rsid w:val="00E170C1"/>
    <w:rsid w:val="00E17292"/>
    <w:rsid w:val="00E17960"/>
    <w:rsid w:val="00E17AAA"/>
    <w:rsid w:val="00E200AD"/>
    <w:rsid w:val="00E20578"/>
    <w:rsid w:val="00E20785"/>
    <w:rsid w:val="00E214E3"/>
    <w:rsid w:val="00E218B0"/>
    <w:rsid w:val="00E219B6"/>
    <w:rsid w:val="00E21C16"/>
    <w:rsid w:val="00E223B2"/>
    <w:rsid w:val="00E22C4E"/>
    <w:rsid w:val="00E22F38"/>
    <w:rsid w:val="00E23C03"/>
    <w:rsid w:val="00E242CD"/>
    <w:rsid w:val="00E246FC"/>
    <w:rsid w:val="00E2494A"/>
    <w:rsid w:val="00E25130"/>
    <w:rsid w:val="00E25BEB"/>
    <w:rsid w:val="00E2632C"/>
    <w:rsid w:val="00E26DBD"/>
    <w:rsid w:val="00E26F74"/>
    <w:rsid w:val="00E27023"/>
    <w:rsid w:val="00E279C0"/>
    <w:rsid w:val="00E30088"/>
    <w:rsid w:val="00E3064C"/>
    <w:rsid w:val="00E306B8"/>
    <w:rsid w:val="00E31362"/>
    <w:rsid w:val="00E3146F"/>
    <w:rsid w:val="00E32B39"/>
    <w:rsid w:val="00E331EE"/>
    <w:rsid w:val="00E33694"/>
    <w:rsid w:val="00E3384E"/>
    <w:rsid w:val="00E33865"/>
    <w:rsid w:val="00E33A34"/>
    <w:rsid w:val="00E33E20"/>
    <w:rsid w:val="00E34639"/>
    <w:rsid w:val="00E34A3C"/>
    <w:rsid w:val="00E34FEA"/>
    <w:rsid w:val="00E353B7"/>
    <w:rsid w:val="00E35577"/>
    <w:rsid w:val="00E35A38"/>
    <w:rsid w:val="00E3666D"/>
    <w:rsid w:val="00E36B1B"/>
    <w:rsid w:val="00E3750D"/>
    <w:rsid w:val="00E37607"/>
    <w:rsid w:val="00E37BEE"/>
    <w:rsid w:val="00E402C4"/>
    <w:rsid w:val="00E402D8"/>
    <w:rsid w:val="00E40C4A"/>
    <w:rsid w:val="00E40D8E"/>
    <w:rsid w:val="00E41044"/>
    <w:rsid w:val="00E4187E"/>
    <w:rsid w:val="00E4249C"/>
    <w:rsid w:val="00E425EF"/>
    <w:rsid w:val="00E4275B"/>
    <w:rsid w:val="00E43B27"/>
    <w:rsid w:val="00E4444F"/>
    <w:rsid w:val="00E4448B"/>
    <w:rsid w:val="00E445E7"/>
    <w:rsid w:val="00E44909"/>
    <w:rsid w:val="00E44945"/>
    <w:rsid w:val="00E4496F"/>
    <w:rsid w:val="00E44F29"/>
    <w:rsid w:val="00E4514F"/>
    <w:rsid w:val="00E453D1"/>
    <w:rsid w:val="00E45513"/>
    <w:rsid w:val="00E46C7F"/>
    <w:rsid w:val="00E47172"/>
    <w:rsid w:val="00E47719"/>
    <w:rsid w:val="00E47DFB"/>
    <w:rsid w:val="00E47F77"/>
    <w:rsid w:val="00E501ED"/>
    <w:rsid w:val="00E5029D"/>
    <w:rsid w:val="00E50734"/>
    <w:rsid w:val="00E50DB2"/>
    <w:rsid w:val="00E5107F"/>
    <w:rsid w:val="00E5113D"/>
    <w:rsid w:val="00E51C02"/>
    <w:rsid w:val="00E52228"/>
    <w:rsid w:val="00E52277"/>
    <w:rsid w:val="00E5290C"/>
    <w:rsid w:val="00E52B2E"/>
    <w:rsid w:val="00E52C45"/>
    <w:rsid w:val="00E52C7C"/>
    <w:rsid w:val="00E5346C"/>
    <w:rsid w:val="00E53718"/>
    <w:rsid w:val="00E53993"/>
    <w:rsid w:val="00E543DE"/>
    <w:rsid w:val="00E54538"/>
    <w:rsid w:val="00E54622"/>
    <w:rsid w:val="00E54FFD"/>
    <w:rsid w:val="00E5512C"/>
    <w:rsid w:val="00E55142"/>
    <w:rsid w:val="00E5563E"/>
    <w:rsid w:val="00E55AFC"/>
    <w:rsid w:val="00E55C91"/>
    <w:rsid w:val="00E56944"/>
    <w:rsid w:val="00E56A23"/>
    <w:rsid w:val="00E56F92"/>
    <w:rsid w:val="00E575EB"/>
    <w:rsid w:val="00E57915"/>
    <w:rsid w:val="00E57A7A"/>
    <w:rsid w:val="00E57BD7"/>
    <w:rsid w:val="00E57D84"/>
    <w:rsid w:val="00E60554"/>
    <w:rsid w:val="00E60BAC"/>
    <w:rsid w:val="00E60C0B"/>
    <w:rsid w:val="00E60C41"/>
    <w:rsid w:val="00E61E37"/>
    <w:rsid w:val="00E62181"/>
    <w:rsid w:val="00E6225D"/>
    <w:rsid w:val="00E624E9"/>
    <w:rsid w:val="00E6262A"/>
    <w:rsid w:val="00E628CA"/>
    <w:rsid w:val="00E62D55"/>
    <w:rsid w:val="00E62EEE"/>
    <w:rsid w:val="00E63A2A"/>
    <w:rsid w:val="00E63CA3"/>
    <w:rsid w:val="00E64272"/>
    <w:rsid w:val="00E64470"/>
    <w:rsid w:val="00E644F9"/>
    <w:rsid w:val="00E64640"/>
    <w:rsid w:val="00E64C8E"/>
    <w:rsid w:val="00E64FF0"/>
    <w:rsid w:val="00E6520D"/>
    <w:rsid w:val="00E653CB"/>
    <w:rsid w:val="00E658C9"/>
    <w:rsid w:val="00E65A04"/>
    <w:rsid w:val="00E65A1F"/>
    <w:rsid w:val="00E66346"/>
    <w:rsid w:val="00E66790"/>
    <w:rsid w:val="00E66BFA"/>
    <w:rsid w:val="00E670F6"/>
    <w:rsid w:val="00E70FE9"/>
    <w:rsid w:val="00E7100D"/>
    <w:rsid w:val="00E719EE"/>
    <w:rsid w:val="00E71A61"/>
    <w:rsid w:val="00E71F9D"/>
    <w:rsid w:val="00E72439"/>
    <w:rsid w:val="00E7284D"/>
    <w:rsid w:val="00E7288E"/>
    <w:rsid w:val="00E72DBD"/>
    <w:rsid w:val="00E73710"/>
    <w:rsid w:val="00E74051"/>
    <w:rsid w:val="00E74BF2"/>
    <w:rsid w:val="00E759AD"/>
    <w:rsid w:val="00E760F1"/>
    <w:rsid w:val="00E76900"/>
    <w:rsid w:val="00E76E15"/>
    <w:rsid w:val="00E80322"/>
    <w:rsid w:val="00E80674"/>
    <w:rsid w:val="00E80E67"/>
    <w:rsid w:val="00E811CF"/>
    <w:rsid w:val="00E81937"/>
    <w:rsid w:val="00E81AB0"/>
    <w:rsid w:val="00E81ABF"/>
    <w:rsid w:val="00E81AE3"/>
    <w:rsid w:val="00E81BEC"/>
    <w:rsid w:val="00E8261C"/>
    <w:rsid w:val="00E82881"/>
    <w:rsid w:val="00E82F28"/>
    <w:rsid w:val="00E82FE6"/>
    <w:rsid w:val="00E8320D"/>
    <w:rsid w:val="00E83453"/>
    <w:rsid w:val="00E83F8C"/>
    <w:rsid w:val="00E84264"/>
    <w:rsid w:val="00E85292"/>
    <w:rsid w:val="00E8538D"/>
    <w:rsid w:val="00E857CA"/>
    <w:rsid w:val="00E85AC4"/>
    <w:rsid w:val="00E86C9A"/>
    <w:rsid w:val="00E86F5B"/>
    <w:rsid w:val="00E87867"/>
    <w:rsid w:val="00E87ABC"/>
    <w:rsid w:val="00E87DB7"/>
    <w:rsid w:val="00E87DC3"/>
    <w:rsid w:val="00E90072"/>
    <w:rsid w:val="00E90076"/>
    <w:rsid w:val="00E9010C"/>
    <w:rsid w:val="00E9097F"/>
    <w:rsid w:val="00E90F52"/>
    <w:rsid w:val="00E91251"/>
    <w:rsid w:val="00E912BA"/>
    <w:rsid w:val="00E91378"/>
    <w:rsid w:val="00E928CC"/>
    <w:rsid w:val="00E9291E"/>
    <w:rsid w:val="00E92BF2"/>
    <w:rsid w:val="00E92CF5"/>
    <w:rsid w:val="00E92E03"/>
    <w:rsid w:val="00E93169"/>
    <w:rsid w:val="00E93214"/>
    <w:rsid w:val="00E93814"/>
    <w:rsid w:val="00E93DEE"/>
    <w:rsid w:val="00E941CB"/>
    <w:rsid w:val="00E9436E"/>
    <w:rsid w:val="00E94504"/>
    <w:rsid w:val="00E94E3F"/>
    <w:rsid w:val="00E94F7B"/>
    <w:rsid w:val="00E9589F"/>
    <w:rsid w:val="00E9635C"/>
    <w:rsid w:val="00E974B1"/>
    <w:rsid w:val="00E974EA"/>
    <w:rsid w:val="00E9794A"/>
    <w:rsid w:val="00E9799F"/>
    <w:rsid w:val="00EA03B3"/>
    <w:rsid w:val="00EA1A10"/>
    <w:rsid w:val="00EA20A5"/>
    <w:rsid w:val="00EA23C8"/>
    <w:rsid w:val="00EA3641"/>
    <w:rsid w:val="00EA3915"/>
    <w:rsid w:val="00EA42D7"/>
    <w:rsid w:val="00EA43EF"/>
    <w:rsid w:val="00EA481F"/>
    <w:rsid w:val="00EA4BD1"/>
    <w:rsid w:val="00EA50E3"/>
    <w:rsid w:val="00EA5267"/>
    <w:rsid w:val="00EA57B6"/>
    <w:rsid w:val="00EA5A5C"/>
    <w:rsid w:val="00EA6049"/>
    <w:rsid w:val="00EA6151"/>
    <w:rsid w:val="00EA6548"/>
    <w:rsid w:val="00EA6D03"/>
    <w:rsid w:val="00EA6E43"/>
    <w:rsid w:val="00EA7205"/>
    <w:rsid w:val="00EA7E4E"/>
    <w:rsid w:val="00EB010D"/>
    <w:rsid w:val="00EB0557"/>
    <w:rsid w:val="00EB0F34"/>
    <w:rsid w:val="00EB1E49"/>
    <w:rsid w:val="00EB20C5"/>
    <w:rsid w:val="00EB2167"/>
    <w:rsid w:val="00EB2459"/>
    <w:rsid w:val="00EB2DC2"/>
    <w:rsid w:val="00EB2E3A"/>
    <w:rsid w:val="00EB2E60"/>
    <w:rsid w:val="00EB3312"/>
    <w:rsid w:val="00EB33D8"/>
    <w:rsid w:val="00EB388F"/>
    <w:rsid w:val="00EB38C3"/>
    <w:rsid w:val="00EB3AAE"/>
    <w:rsid w:val="00EB3BEA"/>
    <w:rsid w:val="00EB41A3"/>
    <w:rsid w:val="00EB4288"/>
    <w:rsid w:val="00EB449B"/>
    <w:rsid w:val="00EB49A8"/>
    <w:rsid w:val="00EB5080"/>
    <w:rsid w:val="00EB51F2"/>
    <w:rsid w:val="00EB53C6"/>
    <w:rsid w:val="00EB587F"/>
    <w:rsid w:val="00EB5A07"/>
    <w:rsid w:val="00EB5BD4"/>
    <w:rsid w:val="00EB5CB4"/>
    <w:rsid w:val="00EB5D0E"/>
    <w:rsid w:val="00EB61F9"/>
    <w:rsid w:val="00EB6408"/>
    <w:rsid w:val="00EB671D"/>
    <w:rsid w:val="00EB69C2"/>
    <w:rsid w:val="00EB6ED3"/>
    <w:rsid w:val="00EB708B"/>
    <w:rsid w:val="00EB7105"/>
    <w:rsid w:val="00EB7122"/>
    <w:rsid w:val="00EB7A60"/>
    <w:rsid w:val="00EC011F"/>
    <w:rsid w:val="00EC0520"/>
    <w:rsid w:val="00EC0AC9"/>
    <w:rsid w:val="00EC1329"/>
    <w:rsid w:val="00EC209D"/>
    <w:rsid w:val="00EC2BDB"/>
    <w:rsid w:val="00EC2CC0"/>
    <w:rsid w:val="00EC3EE7"/>
    <w:rsid w:val="00EC4A10"/>
    <w:rsid w:val="00EC4CAD"/>
    <w:rsid w:val="00EC4F2B"/>
    <w:rsid w:val="00EC5390"/>
    <w:rsid w:val="00EC5C3C"/>
    <w:rsid w:val="00EC6096"/>
    <w:rsid w:val="00EC619A"/>
    <w:rsid w:val="00EC65E3"/>
    <w:rsid w:val="00EC6743"/>
    <w:rsid w:val="00EC6800"/>
    <w:rsid w:val="00EC6852"/>
    <w:rsid w:val="00EC6C6C"/>
    <w:rsid w:val="00EC6EBD"/>
    <w:rsid w:val="00EC7164"/>
    <w:rsid w:val="00EC7335"/>
    <w:rsid w:val="00EC771E"/>
    <w:rsid w:val="00EC7992"/>
    <w:rsid w:val="00ED0089"/>
    <w:rsid w:val="00ED047C"/>
    <w:rsid w:val="00ED071F"/>
    <w:rsid w:val="00ED0FFD"/>
    <w:rsid w:val="00ED15A2"/>
    <w:rsid w:val="00ED16B9"/>
    <w:rsid w:val="00ED1CEE"/>
    <w:rsid w:val="00ED1D31"/>
    <w:rsid w:val="00ED1F52"/>
    <w:rsid w:val="00ED24EB"/>
    <w:rsid w:val="00ED27F1"/>
    <w:rsid w:val="00ED27F3"/>
    <w:rsid w:val="00ED2A0F"/>
    <w:rsid w:val="00ED2BC2"/>
    <w:rsid w:val="00ED34CE"/>
    <w:rsid w:val="00ED3B5F"/>
    <w:rsid w:val="00ED3BC9"/>
    <w:rsid w:val="00ED3E9C"/>
    <w:rsid w:val="00ED3FA7"/>
    <w:rsid w:val="00ED4496"/>
    <w:rsid w:val="00ED4653"/>
    <w:rsid w:val="00ED4937"/>
    <w:rsid w:val="00ED4BB5"/>
    <w:rsid w:val="00ED4F56"/>
    <w:rsid w:val="00ED509D"/>
    <w:rsid w:val="00ED5192"/>
    <w:rsid w:val="00ED520D"/>
    <w:rsid w:val="00ED523D"/>
    <w:rsid w:val="00ED54CE"/>
    <w:rsid w:val="00ED6102"/>
    <w:rsid w:val="00ED6170"/>
    <w:rsid w:val="00ED6B54"/>
    <w:rsid w:val="00ED6F10"/>
    <w:rsid w:val="00ED7066"/>
    <w:rsid w:val="00ED727D"/>
    <w:rsid w:val="00ED7436"/>
    <w:rsid w:val="00ED76CE"/>
    <w:rsid w:val="00ED7722"/>
    <w:rsid w:val="00ED7878"/>
    <w:rsid w:val="00EE0137"/>
    <w:rsid w:val="00EE01E3"/>
    <w:rsid w:val="00EE0794"/>
    <w:rsid w:val="00EE0E7D"/>
    <w:rsid w:val="00EE0F6F"/>
    <w:rsid w:val="00EE1B3C"/>
    <w:rsid w:val="00EE1B4B"/>
    <w:rsid w:val="00EE1DAE"/>
    <w:rsid w:val="00EE1FA6"/>
    <w:rsid w:val="00EE3A5F"/>
    <w:rsid w:val="00EE3A93"/>
    <w:rsid w:val="00EE3B40"/>
    <w:rsid w:val="00EE3CD2"/>
    <w:rsid w:val="00EE41A1"/>
    <w:rsid w:val="00EE44D3"/>
    <w:rsid w:val="00EE4C31"/>
    <w:rsid w:val="00EE50C6"/>
    <w:rsid w:val="00EE5589"/>
    <w:rsid w:val="00EE5CF3"/>
    <w:rsid w:val="00EE6428"/>
    <w:rsid w:val="00EE72E9"/>
    <w:rsid w:val="00EE795A"/>
    <w:rsid w:val="00EF0883"/>
    <w:rsid w:val="00EF08FA"/>
    <w:rsid w:val="00EF090B"/>
    <w:rsid w:val="00EF093B"/>
    <w:rsid w:val="00EF11FC"/>
    <w:rsid w:val="00EF16F7"/>
    <w:rsid w:val="00EF1B5B"/>
    <w:rsid w:val="00EF1C28"/>
    <w:rsid w:val="00EF2173"/>
    <w:rsid w:val="00EF27EB"/>
    <w:rsid w:val="00EF2F14"/>
    <w:rsid w:val="00EF3F8B"/>
    <w:rsid w:val="00EF49BD"/>
    <w:rsid w:val="00EF5153"/>
    <w:rsid w:val="00EF5988"/>
    <w:rsid w:val="00EF604C"/>
    <w:rsid w:val="00EF67DB"/>
    <w:rsid w:val="00EF68E8"/>
    <w:rsid w:val="00EF6CDA"/>
    <w:rsid w:val="00EF709D"/>
    <w:rsid w:val="00EF7890"/>
    <w:rsid w:val="00EF7E2F"/>
    <w:rsid w:val="00F00038"/>
    <w:rsid w:val="00F005C2"/>
    <w:rsid w:val="00F00833"/>
    <w:rsid w:val="00F00855"/>
    <w:rsid w:val="00F00866"/>
    <w:rsid w:val="00F010E6"/>
    <w:rsid w:val="00F01AC2"/>
    <w:rsid w:val="00F01FE9"/>
    <w:rsid w:val="00F020DD"/>
    <w:rsid w:val="00F02550"/>
    <w:rsid w:val="00F02730"/>
    <w:rsid w:val="00F0296F"/>
    <w:rsid w:val="00F02A37"/>
    <w:rsid w:val="00F02CBD"/>
    <w:rsid w:val="00F03211"/>
    <w:rsid w:val="00F037C6"/>
    <w:rsid w:val="00F03A9E"/>
    <w:rsid w:val="00F041EE"/>
    <w:rsid w:val="00F04377"/>
    <w:rsid w:val="00F04423"/>
    <w:rsid w:val="00F044BB"/>
    <w:rsid w:val="00F046F3"/>
    <w:rsid w:val="00F04A2A"/>
    <w:rsid w:val="00F0525C"/>
    <w:rsid w:val="00F0535F"/>
    <w:rsid w:val="00F0536F"/>
    <w:rsid w:val="00F056FE"/>
    <w:rsid w:val="00F059FC"/>
    <w:rsid w:val="00F05A8A"/>
    <w:rsid w:val="00F063C4"/>
    <w:rsid w:val="00F064E6"/>
    <w:rsid w:val="00F0667D"/>
    <w:rsid w:val="00F06E58"/>
    <w:rsid w:val="00F07B03"/>
    <w:rsid w:val="00F07D31"/>
    <w:rsid w:val="00F07ED5"/>
    <w:rsid w:val="00F1007B"/>
    <w:rsid w:val="00F105A3"/>
    <w:rsid w:val="00F108F1"/>
    <w:rsid w:val="00F10A8C"/>
    <w:rsid w:val="00F10B47"/>
    <w:rsid w:val="00F11013"/>
    <w:rsid w:val="00F11028"/>
    <w:rsid w:val="00F1119B"/>
    <w:rsid w:val="00F11C04"/>
    <w:rsid w:val="00F121A9"/>
    <w:rsid w:val="00F127F6"/>
    <w:rsid w:val="00F127F9"/>
    <w:rsid w:val="00F1283E"/>
    <w:rsid w:val="00F12851"/>
    <w:rsid w:val="00F12A6F"/>
    <w:rsid w:val="00F13088"/>
    <w:rsid w:val="00F1351E"/>
    <w:rsid w:val="00F139F0"/>
    <w:rsid w:val="00F1409C"/>
    <w:rsid w:val="00F143E5"/>
    <w:rsid w:val="00F15452"/>
    <w:rsid w:val="00F154C7"/>
    <w:rsid w:val="00F15722"/>
    <w:rsid w:val="00F15880"/>
    <w:rsid w:val="00F15F60"/>
    <w:rsid w:val="00F163D8"/>
    <w:rsid w:val="00F1671C"/>
    <w:rsid w:val="00F17164"/>
    <w:rsid w:val="00F17271"/>
    <w:rsid w:val="00F17678"/>
    <w:rsid w:val="00F17BAA"/>
    <w:rsid w:val="00F17CE7"/>
    <w:rsid w:val="00F17DC3"/>
    <w:rsid w:val="00F17F75"/>
    <w:rsid w:val="00F20342"/>
    <w:rsid w:val="00F20C30"/>
    <w:rsid w:val="00F20D5B"/>
    <w:rsid w:val="00F218A6"/>
    <w:rsid w:val="00F21C73"/>
    <w:rsid w:val="00F21D48"/>
    <w:rsid w:val="00F21E74"/>
    <w:rsid w:val="00F22D4B"/>
    <w:rsid w:val="00F23309"/>
    <w:rsid w:val="00F23602"/>
    <w:rsid w:val="00F23E20"/>
    <w:rsid w:val="00F2413A"/>
    <w:rsid w:val="00F2421C"/>
    <w:rsid w:val="00F2461D"/>
    <w:rsid w:val="00F24693"/>
    <w:rsid w:val="00F24BD8"/>
    <w:rsid w:val="00F24C12"/>
    <w:rsid w:val="00F24D44"/>
    <w:rsid w:val="00F254DE"/>
    <w:rsid w:val="00F25F9F"/>
    <w:rsid w:val="00F26132"/>
    <w:rsid w:val="00F264C4"/>
    <w:rsid w:val="00F266A1"/>
    <w:rsid w:val="00F26869"/>
    <w:rsid w:val="00F27368"/>
    <w:rsid w:val="00F273BF"/>
    <w:rsid w:val="00F30413"/>
    <w:rsid w:val="00F30545"/>
    <w:rsid w:val="00F30629"/>
    <w:rsid w:val="00F30C19"/>
    <w:rsid w:val="00F310E9"/>
    <w:rsid w:val="00F3130A"/>
    <w:rsid w:val="00F31565"/>
    <w:rsid w:val="00F315ED"/>
    <w:rsid w:val="00F3163F"/>
    <w:rsid w:val="00F3177A"/>
    <w:rsid w:val="00F318EA"/>
    <w:rsid w:val="00F31ACB"/>
    <w:rsid w:val="00F31D65"/>
    <w:rsid w:val="00F31DE4"/>
    <w:rsid w:val="00F31E2B"/>
    <w:rsid w:val="00F322A4"/>
    <w:rsid w:val="00F326DD"/>
    <w:rsid w:val="00F333C4"/>
    <w:rsid w:val="00F334B1"/>
    <w:rsid w:val="00F33793"/>
    <w:rsid w:val="00F33949"/>
    <w:rsid w:val="00F33C9E"/>
    <w:rsid w:val="00F33ECA"/>
    <w:rsid w:val="00F345DB"/>
    <w:rsid w:val="00F34A00"/>
    <w:rsid w:val="00F34B7C"/>
    <w:rsid w:val="00F350B9"/>
    <w:rsid w:val="00F3578D"/>
    <w:rsid w:val="00F35B5A"/>
    <w:rsid w:val="00F35B60"/>
    <w:rsid w:val="00F35BDA"/>
    <w:rsid w:val="00F35FB8"/>
    <w:rsid w:val="00F36360"/>
    <w:rsid w:val="00F367AD"/>
    <w:rsid w:val="00F369B0"/>
    <w:rsid w:val="00F36E08"/>
    <w:rsid w:val="00F36EDB"/>
    <w:rsid w:val="00F379FD"/>
    <w:rsid w:val="00F37F00"/>
    <w:rsid w:val="00F40363"/>
    <w:rsid w:val="00F41600"/>
    <w:rsid w:val="00F4176D"/>
    <w:rsid w:val="00F417FB"/>
    <w:rsid w:val="00F41D34"/>
    <w:rsid w:val="00F43524"/>
    <w:rsid w:val="00F435DA"/>
    <w:rsid w:val="00F436A5"/>
    <w:rsid w:val="00F4383F"/>
    <w:rsid w:val="00F438E0"/>
    <w:rsid w:val="00F441E8"/>
    <w:rsid w:val="00F441ED"/>
    <w:rsid w:val="00F4439C"/>
    <w:rsid w:val="00F44739"/>
    <w:rsid w:val="00F448F1"/>
    <w:rsid w:val="00F44FD0"/>
    <w:rsid w:val="00F45617"/>
    <w:rsid w:val="00F457D8"/>
    <w:rsid w:val="00F459B2"/>
    <w:rsid w:val="00F45C02"/>
    <w:rsid w:val="00F45DBC"/>
    <w:rsid w:val="00F46CF5"/>
    <w:rsid w:val="00F47CCE"/>
    <w:rsid w:val="00F47FC1"/>
    <w:rsid w:val="00F50087"/>
    <w:rsid w:val="00F50C8A"/>
    <w:rsid w:val="00F5109C"/>
    <w:rsid w:val="00F510A1"/>
    <w:rsid w:val="00F52584"/>
    <w:rsid w:val="00F525A5"/>
    <w:rsid w:val="00F5275A"/>
    <w:rsid w:val="00F52F00"/>
    <w:rsid w:val="00F53451"/>
    <w:rsid w:val="00F53491"/>
    <w:rsid w:val="00F537D3"/>
    <w:rsid w:val="00F53AC8"/>
    <w:rsid w:val="00F53C3B"/>
    <w:rsid w:val="00F54DB9"/>
    <w:rsid w:val="00F54DCB"/>
    <w:rsid w:val="00F54F83"/>
    <w:rsid w:val="00F55036"/>
    <w:rsid w:val="00F552B5"/>
    <w:rsid w:val="00F559EE"/>
    <w:rsid w:val="00F55EDA"/>
    <w:rsid w:val="00F55F19"/>
    <w:rsid w:val="00F56320"/>
    <w:rsid w:val="00F567FC"/>
    <w:rsid w:val="00F56E5A"/>
    <w:rsid w:val="00F56FCE"/>
    <w:rsid w:val="00F570A7"/>
    <w:rsid w:val="00F570B9"/>
    <w:rsid w:val="00F57420"/>
    <w:rsid w:val="00F5756B"/>
    <w:rsid w:val="00F60263"/>
    <w:rsid w:val="00F604BE"/>
    <w:rsid w:val="00F60564"/>
    <w:rsid w:val="00F60C6A"/>
    <w:rsid w:val="00F60C94"/>
    <w:rsid w:val="00F60D6D"/>
    <w:rsid w:val="00F60FB9"/>
    <w:rsid w:val="00F61453"/>
    <w:rsid w:val="00F61FD1"/>
    <w:rsid w:val="00F6254E"/>
    <w:rsid w:val="00F627BC"/>
    <w:rsid w:val="00F62C77"/>
    <w:rsid w:val="00F63124"/>
    <w:rsid w:val="00F631E7"/>
    <w:rsid w:val="00F639C0"/>
    <w:rsid w:val="00F639FF"/>
    <w:rsid w:val="00F64500"/>
    <w:rsid w:val="00F64AEE"/>
    <w:rsid w:val="00F64C59"/>
    <w:rsid w:val="00F64D6E"/>
    <w:rsid w:val="00F64EAD"/>
    <w:rsid w:val="00F651F5"/>
    <w:rsid w:val="00F657F6"/>
    <w:rsid w:val="00F65943"/>
    <w:rsid w:val="00F65E37"/>
    <w:rsid w:val="00F663C6"/>
    <w:rsid w:val="00F666B9"/>
    <w:rsid w:val="00F66A6E"/>
    <w:rsid w:val="00F66CD7"/>
    <w:rsid w:val="00F66D12"/>
    <w:rsid w:val="00F66E2B"/>
    <w:rsid w:val="00F677D3"/>
    <w:rsid w:val="00F67B87"/>
    <w:rsid w:val="00F70C81"/>
    <w:rsid w:val="00F70D51"/>
    <w:rsid w:val="00F71169"/>
    <w:rsid w:val="00F713CD"/>
    <w:rsid w:val="00F7174D"/>
    <w:rsid w:val="00F71A9D"/>
    <w:rsid w:val="00F71F65"/>
    <w:rsid w:val="00F722B0"/>
    <w:rsid w:val="00F72A05"/>
    <w:rsid w:val="00F72DB0"/>
    <w:rsid w:val="00F731D5"/>
    <w:rsid w:val="00F733B8"/>
    <w:rsid w:val="00F7367E"/>
    <w:rsid w:val="00F74571"/>
    <w:rsid w:val="00F74CF3"/>
    <w:rsid w:val="00F74E9D"/>
    <w:rsid w:val="00F757F5"/>
    <w:rsid w:val="00F75B23"/>
    <w:rsid w:val="00F75B98"/>
    <w:rsid w:val="00F75E8C"/>
    <w:rsid w:val="00F76190"/>
    <w:rsid w:val="00F765F8"/>
    <w:rsid w:val="00F7696B"/>
    <w:rsid w:val="00F76984"/>
    <w:rsid w:val="00F76A00"/>
    <w:rsid w:val="00F774BF"/>
    <w:rsid w:val="00F77ECF"/>
    <w:rsid w:val="00F800A6"/>
    <w:rsid w:val="00F80AD9"/>
    <w:rsid w:val="00F80D00"/>
    <w:rsid w:val="00F80D5B"/>
    <w:rsid w:val="00F80D75"/>
    <w:rsid w:val="00F80F2F"/>
    <w:rsid w:val="00F812AE"/>
    <w:rsid w:val="00F81623"/>
    <w:rsid w:val="00F81B79"/>
    <w:rsid w:val="00F822E3"/>
    <w:rsid w:val="00F824E7"/>
    <w:rsid w:val="00F825A6"/>
    <w:rsid w:val="00F8274C"/>
    <w:rsid w:val="00F82C79"/>
    <w:rsid w:val="00F82DD1"/>
    <w:rsid w:val="00F832A8"/>
    <w:rsid w:val="00F83329"/>
    <w:rsid w:val="00F83472"/>
    <w:rsid w:val="00F83AF5"/>
    <w:rsid w:val="00F83EC3"/>
    <w:rsid w:val="00F83F69"/>
    <w:rsid w:val="00F846F4"/>
    <w:rsid w:val="00F848DD"/>
    <w:rsid w:val="00F84B66"/>
    <w:rsid w:val="00F84FCC"/>
    <w:rsid w:val="00F85517"/>
    <w:rsid w:val="00F8558E"/>
    <w:rsid w:val="00F85C0C"/>
    <w:rsid w:val="00F86AB1"/>
    <w:rsid w:val="00F86B20"/>
    <w:rsid w:val="00F86C23"/>
    <w:rsid w:val="00F86DB7"/>
    <w:rsid w:val="00F86E14"/>
    <w:rsid w:val="00F86F51"/>
    <w:rsid w:val="00F87691"/>
    <w:rsid w:val="00F87789"/>
    <w:rsid w:val="00F87821"/>
    <w:rsid w:val="00F87CB7"/>
    <w:rsid w:val="00F87DB6"/>
    <w:rsid w:val="00F87DE9"/>
    <w:rsid w:val="00F90105"/>
    <w:rsid w:val="00F9017D"/>
    <w:rsid w:val="00F9071D"/>
    <w:rsid w:val="00F914BB"/>
    <w:rsid w:val="00F920C4"/>
    <w:rsid w:val="00F933F1"/>
    <w:rsid w:val="00F937D8"/>
    <w:rsid w:val="00F93A28"/>
    <w:rsid w:val="00F93FE5"/>
    <w:rsid w:val="00F9413E"/>
    <w:rsid w:val="00F9574D"/>
    <w:rsid w:val="00F95750"/>
    <w:rsid w:val="00F95DE6"/>
    <w:rsid w:val="00F961BF"/>
    <w:rsid w:val="00F962DC"/>
    <w:rsid w:val="00F963F6"/>
    <w:rsid w:val="00F96464"/>
    <w:rsid w:val="00F96874"/>
    <w:rsid w:val="00F96992"/>
    <w:rsid w:val="00F96E39"/>
    <w:rsid w:val="00F96F8A"/>
    <w:rsid w:val="00F96FB6"/>
    <w:rsid w:val="00FA0340"/>
    <w:rsid w:val="00FA03C5"/>
    <w:rsid w:val="00FA0767"/>
    <w:rsid w:val="00FA0BCA"/>
    <w:rsid w:val="00FA0CB5"/>
    <w:rsid w:val="00FA0F29"/>
    <w:rsid w:val="00FA0F6F"/>
    <w:rsid w:val="00FA10DE"/>
    <w:rsid w:val="00FA131D"/>
    <w:rsid w:val="00FA19C8"/>
    <w:rsid w:val="00FA1BFC"/>
    <w:rsid w:val="00FA1C38"/>
    <w:rsid w:val="00FA23FC"/>
    <w:rsid w:val="00FA25AE"/>
    <w:rsid w:val="00FA27B0"/>
    <w:rsid w:val="00FA294F"/>
    <w:rsid w:val="00FA2966"/>
    <w:rsid w:val="00FA2C75"/>
    <w:rsid w:val="00FA39C5"/>
    <w:rsid w:val="00FA3D6D"/>
    <w:rsid w:val="00FA4155"/>
    <w:rsid w:val="00FA471B"/>
    <w:rsid w:val="00FA4CED"/>
    <w:rsid w:val="00FA5378"/>
    <w:rsid w:val="00FA53C0"/>
    <w:rsid w:val="00FA5980"/>
    <w:rsid w:val="00FA5BF8"/>
    <w:rsid w:val="00FA5F8D"/>
    <w:rsid w:val="00FA61BD"/>
    <w:rsid w:val="00FA622F"/>
    <w:rsid w:val="00FA6D30"/>
    <w:rsid w:val="00FA6D88"/>
    <w:rsid w:val="00FA6E86"/>
    <w:rsid w:val="00FA6F93"/>
    <w:rsid w:val="00FA7272"/>
    <w:rsid w:val="00FA78A9"/>
    <w:rsid w:val="00FA79CC"/>
    <w:rsid w:val="00FB0076"/>
    <w:rsid w:val="00FB08C6"/>
    <w:rsid w:val="00FB0922"/>
    <w:rsid w:val="00FB2363"/>
    <w:rsid w:val="00FB28C3"/>
    <w:rsid w:val="00FB3367"/>
    <w:rsid w:val="00FB3C16"/>
    <w:rsid w:val="00FB4193"/>
    <w:rsid w:val="00FB4A4E"/>
    <w:rsid w:val="00FB4E10"/>
    <w:rsid w:val="00FB4E4C"/>
    <w:rsid w:val="00FB4F33"/>
    <w:rsid w:val="00FB5287"/>
    <w:rsid w:val="00FB5495"/>
    <w:rsid w:val="00FB60B0"/>
    <w:rsid w:val="00FB6C85"/>
    <w:rsid w:val="00FB7BB7"/>
    <w:rsid w:val="00FB7D21"/>
    <w:rsid w:val="00FC08A7"/>
    <w:rsid w:val="00FC0AC5"/>
    <w:rsid w:val="00FC0D0B"/>
    <w:rsid w:val="00FC16F9"/>
    <w:rsid w:val="00FC179C"/>
    <w:rsid w:val="00FC248B"/>
    <w:rsid w:val="00FC26C6"/>
    <w:rsid w:val="00FC2F97"/>
    <w:rsid w:val="00FC31CD"/>
    <w:rsid w:val="00FC322C"/>
    <w:rsid w:val="00FC379A"/>
    <w:rsid w:val="00FC3B03"/>
    <w:rsid w:val="00FC4031"/>
    <w:rsid w:val="00FC4323"/>
    <w:rsid w:val="00FC446B"/>
    <w:rsid w:val="00FC4574"/>
    <w:rsid w:val="00FC4BD3"/>
    <w:rsid w:val="00FC5025"/>
    <w:rsid w:val="00FC5330"/>
    <w:rsid w:val="00FC5914"/>
    <w:rsid w:val="00FC5D1D"/>
    <w:rsid w:val="00FC5EA0"/>
    <w:rsid w:val="00FC638C"/>
    <w:rsid w:val="00FC6469"/>
    <w:rsid w:val="00FC674C"/>
    <w:rsid w:val="00FC6B03"/>
    <w:rsid w:val="00FC7290"/>
    <w:rsid w:val="00FC7953"/>
    <w:rsid w:val="00FD01EE"/>
    <w:rsid w:val="00FD04F2"/>
    <w:rsid w:val="00FD0E9D"/>
    <w:rsid w:val="00FD1054"/>
    <w:rsid w:val="00FD1A23"/>
    <w:rsid w:val="00FD2BE5"/>
    <w:rsid w:val="00FD2C30"/>
    <w:rsid w:val="00FD2DF3"/>
    <w:rsid w:val="00FD2FAF"/>
    <w:rsid w:val="00FD34C8"/>
    <w:rsid w:val="00FD3782"/>
    <w:rsid w:val="00FD39D5"/>
    <w:rsid w:val="00FD3A8A"/>
    <w:rsid w:val="00FD3B4E"/>
    <w:rsid w:val="00FD3B5B"/>
    <w:rsid w:val="00FD4027"/>
    <w:rsid w:val="00FD42C7"/>
    <w:rsid w:val="00FD499C"/>
    <w:rsid w:val="00FD4ACA"/>
    <w:rsid w:val="00FD4BFD"/>
    <w:rsid w:val="00FD4D8E"/>
    <w:rsid w:val="00FD506E"/>
    <w:rsid w:val="00FD5249"/>
    <w:rsid w:val="00FD55A9"/>
    <w:rsid w:val="00FD5710"/>
    <w:rsid w:val="00FD57D1"/>
    <w:rsid w:val="00FD5F41"/>
    <w:rsid w:val="00FD60E7"/>
    <w:rsid w:val="00FD67CF"/>
    <w:rsid w:val="00FD6934"/>
    <w:rsid w:val="00FD6D77"/>
    <w:rsid w:val="00FD6FED"/>
    <w:rsid w:val="00FD71B5"/>
    <w:rsid w:val="00FD7737"/>
    <w:rsid w:val="00FE0043"/>
    <w:rsid w:val="00FE0136"/>
    <w:rsid w:val="00FE04BB"/>
    <w:rsid w:val="00FE058E"/>
    <w:rsid w:val="00FE0929"/>
    <w:rsid w:val="00FE0F28"/>
    <w:rsid w:val="00FE123B"/>
    <w:rsid w:val="00FE148C"/>
    <w:rsid w:val="00FE167D"/>
    <w:rsid w:val="00FE19ED"/>
    <w:rsid w:val="00FE1EC8"/>
    <w:rsid w:val="00FE21A9"/>
    <w:rsid w:val="00FE25FA"/>
    <w:rsid w:val="00FE2921"/>
    <w:rsid w:val="00FE2957"/>
    <w:rsid w:val="00FE2AAB"/>
    <w:rsid w:val="00FE2B4F"/>
    <w:rsid w:val="00FE3068"/>
    <w:rsid w:val="00FE31E0"/>
    <w:rsid w:val="00FE3CD9"/>
    <w:rsid w:val="00FE40B6"/>
    <w:rsid w:val="00FE42A4"/>
    <w:rsid w:val="00FE5093"/>
    <w:rsid w:val="00FE5789"/>
    <w:rsid w:val="00FE5983"/>
    <w:rsid w:val="00FE66CA"/>
    <w:rsid w:val="00FE6CF9"/>
    <w:rsid w:val="00FE7348"/>
    <w:rsid w:val="00FE7664"/>
    <w:rsid w:val="00FE767A"/>
    <w:rsid w:val="00FE77C1"/>
    <w:rsid w:val="00FE7BAF"/>
    <w:rsid w:val="00FE7C0A"/>
    <w:rsid w:val="00FF0041"/>
    <w:rsid w:val="00FF055D"/>
    <w:rsid w:val="00FF06A3"/>
    <w:rsid w:val="00FF09E6"/>
    <w:rsid w:val="00FF0D22"/>
    <w:rsid w:val="00FF102B"/>
    <w:rsid w:val="00FF1532"/>
    <w:rsid w:val="00FF1CF8"/>
    <w:rsid w:val="00FF22D5"/>
    <w:rsid w:val="00FF26F9"/>
    <w:rsid w:val="00FF27CC"/>
    <w:rsid w:val="00FF27EA"/>
    <w:rsid w:val="00FF2E23"/>
    <w:rsid w:val="00FF31C2"/>
    <w:rsid w:val="00FF371E"/>
    <w:rsid w:val="00FF38C0"/>
    <w:rsid w:val="00FF3C71"/>
    <w:rsid w:val="00FF402C"/>
    <w:rsid w:val="00FF40CA"/>
    <w:rsid w:val="00FF47E7"/>
    <w:rsid w:val="00FF495B"/>
    <w:rsid w:val="00FF4E88"/>
    <w:rsid w:val="00FF53BB"/>
    <w:rsid w:val="00FF59DB"/>
    <w:rsid w:val="00FF59F0"/>
    <w:rsid w:val="00FF5D30"/>
    <w:rsid w:val="00FF6743"/>
    <w:rsid w:val="00FF6C41"/>
    <w:rsid w:val="00FF6C63"/>
    <w:rsid w:val="00FF730F"/>
    <w:rsid w:val="00FF7410"/>
    <w:rsid w:val="00FF7782"/>
    <w:rsid w:val="02312E32"/>
    <w:rsid w:val="02D87F09"/>
    <w:rsid w:val="05AF1B2E"/>
    <w:rsid w:val="05EC7042"/>
    <w:rsid w:val="06452C2E"/>
    <w:rsid w:val="06E20F4A"/>
    <w:rsid w:val="07613D3E"/>
    <w:rsid w:val="081B78A1"/>
    <w:rsid w:val="09446A27"/>
    <w:rsid w:val="0A392023"/>
    <w:rsid w:val="0BDF2DEB"/>
    <w:rsid w:val="0CA60693"/>
    <w:rsid w:val="0D830559"/>
    <w:rsid w:val="0EAC566E"/>
    <w:rsid w:val="0ED105B4"/>
    <w:rsid w:val="0EF644A9"/>
    <w:rsid w:val="10284059"/>
    <w:rsid w:val="10B17C55"/>
    <w:rsid w:val="11152DDC"/>
    <w:rsid w:val="12505F1E"/>
    <w:rsid w:val="127C5FF5"/>
    <w:rsid w:val="132D692C"/>
    <w:rsid w:val="137047F4"/>
    <w:rsid w:val="148D0552"/>
    <w:rsid w:val="148F079E"/>
    <w:rsid w:val="166B4FB2"/>
    <w:rsid w:val="16F70BC1"/>
    <w:rsid w:val="18090295"/>
    <w:rsid w:val="185E170B"/>
    <w:rsid w:val="188B255D"/>
    <w:rsid w:val="18F878A2"/>
    <w:rsid w:val="190E2F37"/>
    <w:rsid w:val="193E4DB6"/>
    <w:rsid w:val="19A048D0"/>
    <w:rsid w:val="1A615687"/>
    <w:rsid w:val="1A69361F"/>
    <w:rsid w:val="1A8A5A53"/>
    <w:rsid w:val="1B590E44"/>
    <w:rsid w:val="1C8C4DC1"/>
    <w:rsid w:val="1CA65587"/>
    <w:rsid w:val="1CAA45CF"/>
    <w:rsid w:val="1DA0274F"/>
    <w:rsid w:val="1E7B3A1F"/>
    <w:rsid w:val="1E970FAF"/>
    <w:rsid w:val="1F7E3552"/>
    <w:rsid w:val="2053667C"/>
    <w:rsid w:val="20F44970"/>
    <w:rsid w:val="21495623"/>
    <w:rsid w:val="22804F05"/>
    <w:rsid w:val="22FB7F5E"/>
    <w:rsid w:val="244C2DFA"/>
    <w:rsid w:val="24912F4B"/>
    <w:rsid w:val="259156E2"/>
    <w:rsid w:val="279F41AC"/>
    <w:rsid w:val="287A5879"/>
    <w:rsid w:val="2BB04FAC"/>
    <w:rsid w:val="2C3308FB"/>
    <w:rsid w:val="2C77195C"/>
    <w:rsid w:val="2CD41E7E"/>
    <w:rsid w:val="2CFA4651"/>
    <w:rsid w:val="2D5A10DD"/>
    <w:rsid w:val="2D5B6191"/>
    <w:rsid w:val="2DB377A2"/>
    <w:rsid w:val="2DB73930"/>
    <w:rsid w:val="2DE01B5A"/>
    <w:rsid w:val="2DF52187"/>
    <w:rsid w:val="2E91685B"/>
    <w:rsid w:val="2F9028A1"/>
    <w:rsid w:val="312575C7"/>
    <w:rsid w:val="32866470"/>
    <w:rsid w:val="330539E1"/>
    <w:rsid w:val="33585062"/>
    <w:rsid w:val="35263055"/>
    <w:rsid w:val="36EB6FD8"/>
    <w:rsid w:val="376C3EC9"/>
    <w:rsid w:val="37951051"/>
    <w:rsid w:val="38CE675D"/>
    <w:rsid w:val="392B1AA5"/>
    <w:rsid w:val="39447693"/>
    <w:rsid w:val="39A65CDD"/>
    <w:rsid w:val="39C07C5C"/>
    <w:rsid w:val="39EF6139"/>
    <w:rsid w:val="3AA20B13"/>
    <w:rsid w:val="3BCF509F"/>
    <w:rsid w:val="3BFE273E"/>
    <w:rsid w:val="3CE74605"/>
    <w:rsid w:val="3FDC005A"/>
    <w:rsid w:val="40462AC4"/>
    <w:rsid w:val="40A3222D"/>
    <w:rsid w:val="420B1131"/>
    <w:rsid w:val="42CA51C1"/>
    <w:rsid w:val="43BF72A0"/>
    <w:rsid w:val="46C60AC8"/>
    <w:rsid w:val="47832503"/>
    <w:rsid w:val="47AB741B"/>
    <w:rsid w:val="484B26EC"/>
    <w:rsid w:val="4A994DAF"/>
    <w:rsid w:val="4B3A47D2"/>
    <w:rsid w:val="4B4A3A79"/>
    <w:rsid w:val="4D28274F"/>
    <w:rsid w:val="4E171EBD"/>
    <w:rsid w:val="4E320949"/>
    <w:rsid w:val="4EB86B03"/>
    <w:rsid w:val="4EB87039"/>
    <w:rsid w:val="514C6D6A"/>
    <w:rsid w:val="52B56446"/>
    <w:rsid w:val="52F0606F"/>
    <w:rsid w:val="531C0CDF"/>
    <w:rsid w:val="53801DC3"/>
    <w:rsid w:val="54011214"/>
    <w:rsid w:val="54190BFA"/>
    <w:rsid w:val="548364A6"/>
    <w:rsid w:val="55283AB6"/>
    <w:rsid w:val="55C60B53"/>
    <w:rsid w:val="56595AED"/>
    <w:rsid w:val="57866134"/>
    <w:rsid w:val="57FA257D"/>
    <w:rsid w:val="58F95997"/>
    <w:rsid w:val="590A1BD5"/>
    <w:rsid w:val="5961017F"/>
    <w:rsid w:val="5AF2441E"/>
    <w:rsid w:val="5B21059E"/>
    <w:rsid w:val="5B6C7F4E"/>
    <w:rsid w:val="5BB97069"/>
    <w:rsid w:val="5BBC5534"/>
    <w:rsid w:val="5C3A4432"/>
    <w:rsid w:val="5C6156D4"/>
    <w:rsid w:val="5C701553"/>
    <w:rsid w:val="5D6347AF"/>
    <w:rsid w:val="5D7D499E"/>
    <w:rsid w:val="5FA310BE"/>
    <w:rsid w:val="61036F00"/>
    <w:rsid w:val="6131550A"/>
    <w:rsid w:val="619B018F"/>
    <w:rsid w:val="61C304F3"/>
    <w:rsid w:val="622009EB"/>
    <w:rsid w:val="63067C39"/>
    <w:rsid w:val="63364948"/>
    <w:rsid w:val="64F67C33"/>
    <w:rsid w:val="658C234C"/>
    <w:rsid w:val="660165D5"/>
    <w:rsid w:val="669663D3"/>
    <w:rsid w:val="678A2FB4"/>
    <w:rsid w:val="678E1DED"/>
    <w:rsid w:val="67E73DDC"/>
    <w:rsid w:val="680A01E5"/>
    <w:rsid w:val="68755071"/>
    <w:rsid w:val="69D43AE2"/>
    <w:rsid w:val="69FD45B4"/>
    <w:rsid w:val="6AB6243E"/>
    <w:rsid w:val="6B9204B8"/>
    <w:rsid w:val="6CBA735E"/>
    <w:rsid w:val="6CE420F5"/>
    <w:rsid w:val="6CF61C3E"/>
    <w:rsid w:val="6E650FF6"/>
    <w:rsid w:val="713E7C50"/>
    <w:rsid w:val="71D215E4"/>
    <w:rsid w:val="71D3266F"/>
    <w:rsid w:val="71DF190E"/>
    <w:rsid w:val="739758DD"/>
    <w:rsid w:val="74CA3852"/>
    <w:rsid w:val="7555132B"/>
    <w:rsid w:val="76731DDC"/>
    <w:rsid w:val="7742700A"/>
    <w:rsid w:val="77791512"/>
    <w:rsid w:val="77D45E29"/>
    <w:rsid w:val="780B2F15"/>
    <w:rsid w:val="784F4D7B"/>
    <w:rsid w:val="785F09DD"/>
    <w:rsid w:val="78A05734"/>
    <w:rsid w:val="79AF232E"/>
    <w:rsid w:val="79FD4D1C"/>
    <w:rsid w:val="7A5722FC"/>
    <w:rsid w:val="7B4B22D2"/>
    <w:rsid w:val="7BF525DE"/>
    <w:rsid w:val="7C94055B"/>
    <w:rsid w:val="7CCE1D19"/>
    <w:rsid w:val="7D97463E"/>
    <w:rsid w:val="7EB62856"/>
    <w:rsid w:val="7F30220C"/>
    <w:rsid w:val="7F462A6C"/>
    <w:rsid w:val="7FD245F5"/>
    <w:rsid w:val="7FE2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0" w:beforeLines="30" w:after="40" w:line="264" w:lineRule="auto"/>
      <w:ind w:firstLine="200" w:firstLineChars="200"/>
      <w:outlineLvl w:val="0"/>
    </w:pPr>
    <w:rPr>
      <w:rFonts w:ascii="Calibri" w:hAnsi="Calibri"/>
      <w:b/>
      <w:bCs/>
      <w:kern w:val="44"/>
      <w:sz w:val="24"/>
      <w:szCs w:val="44"/>
    </w:rPr>
  </w:style>
  <w:style w:type="paragraph" w:styleId="3">
    <w:name w:val="heading 2"/>
    <w:basedOn w:val="1"/>
    <w:next w:val="1"/>
    <w:link w:val="36"/>
    <w:unhideWhenUsed/>
    <w:qFormat/>
    <w:uiPriority w:val="9"/>
    <w:pPr>
      <w:keepNext/>
      <w:keepLines/>
      <w:spacing w:line="264" w:lineRule="auto"/>
      <w:ind w:firstLine="200" w:firstLineChars="200"/>
      <w:outlineLvl w:val="1"/>
    </w:pPr>
    <w:rPr>
      <w:rFonts w:asciiTheme="majorHAnsi" w:hAnsiTheme="majorHAnsi" w:cstheme="majorBidi"/>
      <w:b/>
      <w:bCs/>
      <w:sz w:val="20"/>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rPr>
      <w:kern w:val="0"/>
      <w:sz w:val="20"/>
    </w:rPr>
  </w:style>
  <w:style w:type="paragraph" w:styleId="5">
    <w:name w:val="Body Text Indent"/>
    <w:basedOn w:val="1"/>
    <w:link w:val="21"/>
    <w:qFormat/>
    <w:uiPriority w:val="0"/>
    <w:pPr>
      <w:spacing w:after="120"/>
      <w:ind w:left="420" w:leftChars="200"/>
    </w:pPr>
    <w:rPr>
      <w:kern w:val="0"/>
      <w:sz w:val="20"/>
    </w:rPr>
  </w:style>
  <w:style w:type="paragraph" w:styleId="6">
    <w:name w:val="Balloon Text"/>
    <w:basedOn w:val="1"/>
    <w:link w:val="25"/>
    <w:unhideWhenUsed/>
    <w:qFormat/>
    <w:uiPriority w:val="99"/>
    <w:rPr>
      <w:kern w:val="0"/>
      <w:sz w:val="18"/>
      <w:szCs w:val="18"/>
    </w:rPr>
  </w:style>
  <w:style w:type="paragraph" w:styleId="7">
    <w:name w:val="footer"/>
    <w:basedOn w:val="1"/>
    <w:link w:val="22"/>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line="264" w:lineRule="auto"/>
      <w:ind w:firstLine="200" w:firstLineChars="200"/>
    </w:pPr>
    <w:rPr>
      <w:rFonts w:ascii="Calibri" w:hAnsi="Calibri"/>
      <w:sz w:val="24"/>
    </w:rPr>
  </w:style>
  <w:style w:type="paragraph" w:styleId="10">
    <w:name w:val="Title"/>
    <w:basedOn w:val="1"/>
    <w:next w:val="1"/>
    <w:link w:val="28"/>
    <w:qFormat/>
    <w:uiPriority w:val="10"/>
    <w:pPr>
      <w:spacing w:before="240" w:after="60"/>
      <w:jc w:val="center"/>
      <w:outlineLvl w:val="0"/>
    </w:pPr>
    <w:rPr>
      <w:rFonts w:ascii="Cambria" w:hAnsi="Cambria"/>
      <w:b/>
      <w:bCs/>
      <w:sz w:val="32"/>
      <w:szCs w:val="32"/>
    </w:rPr>
  </w:style>
  <w:style w:type="paragraph" w:styleId="11">
    <w:name w:val="annotation subject"/>
    <w:basedOn w:val="4"/>
    <w:next w:val="4"/>
    <w:link w:val="24"/>
    <w:unhideWhenUsed/>
    <w:qFormat/>
    <w:uiPriority w:val="99"/>
    <w:rPr>
      <w:b/>
      <w:bCs/>
      <w:kern w:val="2"/>
      <w:sz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styleId="17">
    <w:name w:val="Emphasis"/>
    <w:qFormat/>
    <w:uiPriority w:val="20"/>
    <w:rPr>
      <w:i/>
      <w:iCs/>
    </w:rPr>
  </w:style>
  <w:style w:type="character" w:styleId="18">
    <w:name w:val="annotation reference"/>
    <w:unhideWhenUsed/>
    <w:qFormat/>
    <w:uiPriority w:val="0"/>
    <w:rPr>
      <w:sz w:val="21"/>
      <w:szCs w:val="21"/>
    </w:rPr>
  </w:style>
  <w:style w:type="character" w:customStyle="1" w:styleId="19">
    <w:name w:val="页眉 字符"/>
    <w:link w:val="8"/>
    <w:qFormat/>
    <w:uiPriority w:val="99"/>
    <w:rPr>
      <w:rFonts w:ascii="Times New Roman" w:hAnsi="Times New Roman"/>
      <w:kern w:val="2"/>
      <w:sz w:val="18"/>
      <w:szCs w:val="18"/>
    </w:rPr>
  </w:style>
  <w:style w:type="character" w:customStyle="1" w:styleId="20">
    <w:name w:val="批注主题 字符"/>
    <w:semiHidden/>
    <w:qFormat/>
    <w:uiPriority w:val="99"/>
    <w:rPr>
      <w:rFonts w:ascii="Times New Roman" w:hAnsi="Times New Roman" w:eastAsia="宋体" w:cs="Times New Roman"/>
      <w:b/>
      <w:bCs/>
      <w:kern w:val="2"/>
      <w:sz w:val="21"/>
      <w:szCs w:val="24"/>
    </w:rPr>
  </w:style>
  <w:style w:type="character" w:customStyle="1" w:styleId="21">
    <w:name w:val="正文文本缩进 字符"/>
    <w:link w:val="5"/>
    <w:qFormat/>
    <w:uiPriority w:val="0"/>
    <w:rPr>
      <w:rFonts w:ascii="Times New Roman" w:hAnsi="Times New Roman" w:eastAsia="宋体" w:cs="Times New Roman"/>
      <w:kern w:val="0"/>
      <w:sz w:val="20"/>
      <w:szCs w:val="24"/>
    </w:rPr>
  </w:style>
  <w:style w:type="character" w:customStyle="1" w:styleId="22">
    <w:name w:val="页脚 字符"/>
    <w:link w:val="7"/>
    <w:qFormat/>
    <w:uiPriority w:val="99"/>
    <w:rPr>
      <w:rFonts w:ascii="Calibri" w:hAnsi="Calibri" w:eastAsia="宋体" w:cs="Times New Roman"/>
      <w:kern w:val="0"/>
      <w:sz w:val="18"/>
      <w:szCs w:val="18"/>
    </w:rPr>
  </w:style>
  <w:style w:type="character" w:customStyle="1" w:styleId="23">
    <w:name w:val="明显强调1"/>
    <w:qFormat/>
    <w:uiPriority w:val="21"/>
    <w:rPr>
      <w:b/>
      <w:bCs/>
      <w:i/>
      <w:iCs/>
      <w:color w:val="4F81BD"/>
    </w:rPr>
  </w:style>
  <w:style w:type="character" w:customStyle="1" w:styleId="24">
    <w:name w:val="批注主题 字符1"/>
    <w:link w:val="11"/>
    <w:qFormat/>
    <w:uiPriority w:val="99"/>
    <w:rPr>
      <w:rFonts w:ascii="Times New Roman" w:hAnsi="Times New Roman" w:eastAsia="宋体" w:cs="Times New Roman"/>
      <w:b/>
      <w:bCs/>
      <w:kern w:val="2"/>
      <w:sz w:val="21"/>
      <w:szCs w:val="24"/>
    </w:rPr>
  </w:style>
  <w:style w:type="character" w:customStyle="1" w:styleId="25">
    <w:name w:val="批注框文本 字符"/>
    <w:link w:val="6"/>
    <w:qFormat/>
    <w:uiPriority w:val="99"/>
    <w:rPr>
      <w:rFonts w:ascii="Times New Roman" w:hAnsi="Times New Roman" w:eastAsia="宋体" w:cs="Times New Roman"/>
      <w:sz w:val="18"/>
      <w:szCs w:val="18"/>
    </w:rPr>
  </w:style>
  <w:style w:type="character" w:customStyle="1" w:styleId="26">
    <w:name w:val="im-content1"/>
    <w:qFormat/>
    <w:uiPriority w:val="0"/>
    <w:rPr>
      <w:color w:val="333333"/>
    </w:rPr>
  </w:style>
  <w:style w:type="character" w:customStyle="1" w:styleId="27">
    <w:name w:val="批注文字 字符"/>
    <w:link w:val="4"/>
    <w:qFormat/>
    <w:uiPriority w:val="99"/>
    <w:rPr>
      <w:rFonts w:ascii="Times New Roman" w:hAnsi="Times New Roman" w:eastAsia="宋体" w:cs="Times New Roman"/>
      <w:szCs w:val="24"/>
    </w:rPr>
  </w:style>
  <w:style w:type="character" w:customStyle="1" w:styleId="28">
    <w:name w:val="标题 字符"/>
    <w:link w:val="10"/>
    <w:qFormat/>
    <w:uiPriority w:val="10"/>
    <w:rPr>
      <w:rFonts w:ascii="Cambria" w:hAnsi="Cambria" w:cs="Times New Roman"/>
      <w:b/>
      <w:bCs/>
      <w:kern w:val="2"/>
      <w:sz w:val="32"/>
      <w:szCs w:val="32"/>
    </w:rPr>
  </w:style>
  <w:style w:type="paragraph" w:customStyle="1" w:styleId="29">
    <w:name w:val="p0"/>
    <w:basedOn w:val="1"/>
    <w:qFormat/>
    <w:uiPriority w:val="0"/>
    <w:pPr>
      <w:widowControl/>
      <w:spacing w:before="100" w:beforeAutospacing="1" w:after="100" w:afterAutospacing="1" w:line="256" w:lineRule="auto"/>
      <w:jc w:val="left"/>
    </w:pPr>
    <w:rPr>
      <w:rFonts w:hint="eastAsia" w:ascii="宋体" w:hAnsi="宋体"/>
      <w:kern w:val="0"/>
      <w:sz w:val="24"/>
    </w:rPr>
  </w:style>
  <w:style w:type="paragraph" w:customStyle="1" w:styleId="30">
    <w:name w:val="Char Char"/>
    <w:basedOn w:val="1"/>
    <w:qFormat/>
    <w:uiPriority w:val="0"/>
    <w:pPr>
      <w:adjustRightInd w:val="0"/>
      <w:spacing w:line="360" w:lineRule="auto"/>
    </w:pPr>
    <w:rPr>
      <w:kern w:val="0"/>
      <w:sz w:val="24"/>
      <w:szCs w:val="20"/>
    </w:rPr>
  </w:style>
  <w:style w:type="paragraph" w:customStyle="1" w:styleId="3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2">
    <w:name w:val="List Paragraph"/>
    <w:basedOn w:val="1"/>
    <w:qFormat/>
    <w:uiPriority w:val="34"/>
    <w:pPr>
      <w:ind w:firstLine="420" w:firstLineChars="200"/>
    </w:pPr>
    <w:rPr>
      <w:rFonts w:ascii="Calibri" w:hAnsi="Calibri"/>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15"/>
    <w:basedOn w:val="14"/>
    <w:qFormat/>
    <w:uiPriority w:val="0"/>
    <w:rPr>
      <w:rFonts w:hint="default" w:ascii="Cambria" w:hAnsi="Cambria"/>
      <w:b/>
      <w:bCs/>
      <w:kern w:val="2"/>
    </w:rPr>
  </w:style>
  <w:style w:type="character" w:customStyle="1" w:styleId="35">
    <w:name w:val="标题 1 字符"/>
    <w:basedOn w:val="14"/>
    <w:link w:val="2"/>
    <w:qFormat/>
    <w:uiPriority w:val="9"/>
    <w:rPr>
      <w:b/>
      <w:bCs/>
      <w:kern w:val="44"/>
      <w:sz w:val="24"/>
      <w:szCs w:val="44"/>
    </w:rPr>
  </w:style>
  <w:style w:type="character" w:customStyle="1" w:styleId="36">
    <w:name w:val="标题 2 字符"/>
    <w:basedOn w:val="14"/>
    <w:link w:val="3"/>
    <w:qFormat/>
    <w:uiPriority w:val="9"/>
    <w:rPr>
      <w:rFonts w:asciiTheme="majorHAnsi" w:hAnsiTheme="majorHAnsi" w:cstheme="majorBidi"/>
      <w:b/>
      <w:bCs/>
      <w:kern w:val="2"/>
      <w:szCs w:val="32"/>
    </w:rPr>
  </w:style>
  <w:style w:type="paragraph" w:customStyle="1" w:styleId="37">
    <w:name w:val="_Style 10"/>
    <w:basedOn w:val="1"/>
    <w:next w:val="32"/>
    <w:qFormat/>
    <w:uiPriority w:val="34"/>
    <w:pPr>
      <w:spacing w:line="264" w:lineRule="auto"/>
      <w:ind w:firstLine="420" w:firstLineChars="200"/>
    </w:pPr>
    <w:rPr>
      <w:rFonts w:ascii="Calibri" w:hAnsi="Calibri"/>
      <w:sz w:val="20"/>
      <w:szCs w:val="22"/>
    </w:rPr>
  </w:style>
  <w:style w:type="character" w:customStyle="1" w:styleId="38">
    <w:name w:val="批注文字 Char"/>
    <w:basedOn w:val="14"/>
    <w:semiHidden/>
    <w:qFormat/>
    <w:uiPriority w:val="99"/>
    <w:rPr>
      <w:rFonts w:ascii="Calibri" w:hAnsi="Calibri" w:eastAsia="宋体" w:cs="Times New Roman"/>
      <w:szCs w:val="24"/>
    </w:rPr>
  </w:style>
  <w:style w:type="character" w:customStyle="1" w:styleId="39">
    <w:name w:val="明显强调11"/>
    <w:qFormat/>
    <w:uiPriority w:val="21"/>
    <w:rPr>
      <w:b/>
      <w:bCs/>
      <w:i/>
      <w:iCs/>
      <w:color w:val="4F81BD"/>
    </w:rPr>
  </w:style>
  <w:style w:type="character" w:customStyle="1" w:styleId="40">
    <w:name w:val="fontstyle01"/>
    <w:basedOn w:val="14"/>
    <w:qFormat/>
    <w:uiPriority w:val="0"/>
    <w:rPr>
      <w:rFonts w:hint="default" w:ascii="HYa3gj" w:hAnsi="HYa3gj"/>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BB2E-64D9-4946-A4FA-1DFE12C9A2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18949</Words>
  <Characters>19630</Characters>
  <Lines>142</Lines>
  <Paragraphs>40</Paragraphs>
  <TotalTime>10</TotalTime>
  <ScaleCrop>false</ScaleCrop>
  <LinksUpToDate>false</LinksUpToDate>
  <CharactersWithSpaces>19669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2024-02-21T01:07:00Z</dcterms:created>
  <dc:creator>投资银行部</dc:creator>
  <cp:lastModifiedBy>jxlc</cp:lastModifiedBy>
  <cp:lastPrinted>2021-05-20T03:06:00Z</cp:lastPrinted>
  <dcterms:modified xsi:type="dcterms:W3CDTF">2024-10-08T05:53:30Z</dcterms:modified>
  <dc:title>中国建设银行XX分行“乾元”保本型人民币2012年第X期</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91E1527530EE4D5B954C1C1D916DB94D_12</vt:lpwstr>
  </property>
</Properties>
</file>