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36D" w:rsidRDefault="0081436D">
      <w:pPr>
        <w:jc w:val="center"/>
      </w:pPr>
    </w:p>
    <w:p w:rsidR="0081436D" w:rsidRDefault="0081436D">
      <w:pPr>
        <w:jc w:val="center"/>
        <w:outlineLvl w:val="0"/>
        <w:rPr>
          <w:rFonts w:ascii="黑体" w:eastAsia="黑体"/>
          <w:b/>
          <w:sz w:val="48"/>
        </w:rPr>
      </w:pPr>
    </w:p>
    <w:p w:rsidR="0081436D" w:rsidRDefault="0081436D">
      <w:pPr>
        <w:jc w:val="center"/>
        <w:outlineLvl w:val="0"/>
        <w:rPr>
          <w:rFonts w:ascii="黑体" w:eastAsia="黑体"/>
          <w:b/>
          <w:sz w:val="48"/>
        </w:rPr>
      </w:pPr>
    </w:p>
    <w:p w:rsidR="0081436D" w:rsidRDefault="0081436D">
      <w:pPr>
        <w:jc w:val="center"/>
        <w:outlineLvl w:val="0"/>
        <w:rPr>
          <w:rFonts w:ascii="黑体" w:eastAsia="黑体"/>
          <w:b/>
          <w:sz w:val="48"/>
        </w:rPr>
      </w:pPr>
    </w:p>
    <w:p w:rsidR="0081436D" w:rsidRDefault="0081436D">
      <w:pPr>
        <w:jc w:val="center"/>
        <w:outlineLvl w:val="0"/>
        <w:rPr>
          <w:rFonts w:ascii="黑体" w:eastAsia="黑体"/>
          <w:b/>
          <w:sz w:val="36"/>
          <w:szCs w:val="36"/>
        </w:rPr>
      </w:pPr>
    </w:p>
    <w:p w:rsidR="0081436D" w:rsidRDefault="00BD165F">
      <w:pPr>
        <w:jc w:val="center"/>
        <w:rPr>
          <w:rFonts w:ascii="仿宋_GB2312" w:eastAsia="仿宋_GB2312" w:hAnsi="仿宋_GB2312"/>
          <w:b/>
          <w:sz w:val="44"/>
          <w:szCs w:val="44"/>
        </w:rPr>
      </w:pPr>
      <w:bookmarkStart w:id="0" w:name="_Toc12217"/>
      <w:bookmarkStart w:id="1" w:name="_Toc14531"/>
      <w:bookmarkStart w:id="2" w:name="_Toc30265"/>
      <w:bookmarkStart w:id="3" w:name="_Toc16533"/>
      <w:r>
        <w:rPr>
          <w:rFonts w:ascii="仿宋_GB2312" w:eastAsia="仿宋_GB2312" w:hAnsi="仿宋_GB2312"/>
          <w:b/>
          <w:sz w:val="44"/>
          <w:szCs w:val="44"/>
        </w:rPr>
        <w:t>光大</w:t>
      </w:r>
      <w:proofErr w:type="gramStart"/>
      <w:r>
        <w:rPr>
          <w:rFonts w:ascii="仿宋_GB2312" w:eastAsia="仿宋_GB2312" w:hAnsi="仿宋_GB2312"/>
          <w:b/>
          <w:sz w:val="44"/>
          <w:szCs w:val="44"/>
        </w:rPr>
        <w:t>理财理财</w:t>
      </w:r>
      <w:proofErr w:type="gramEnd"/>
      <w:r>
        <w:rPr>
          <w:rFonts w:ascii="仿宋_GB2312" w:eastAsia="仿宋_GB2312" w:hAnsi="仿宋_GB2312"/>
          <w:b/>
          <w:sz w:val="44"/>
          <w:szCs w:val="44"/>
        </w:rPr>
        <w:t>产品托管协议</w:t>
      </w:r>
      <w:bookmarkEnd w:id="0"/>
      <w:bookmarkEnd w:id="1"/>
      <w:bookmarkEnd w:id="2"/>
      <w:bookmarkEnd w:id="3"/>
    </w:p>
    <w:p w:rsidR="0081436D" w:rsidRDefault="0081436D">
      <w:pPr>
        <w:jc w:val="center"/>
        <w:rPr>
          <w:rFonts w:ascii="仿宋_GB2312" w:eastAsia="仿宋_GB2312" w:hAnsi="仿宋_GB2312"/>
          <w:b/>
          <w:sz w:val="44"/>
          <w:szCs w:val="44"/>
        </w:rPr>
      </w:pPr>
    </w:p>
    <w:p w:rsidR="0081436D" w:rsidRDefault="0081436D">
      <w:pPr>
        <w:jc w:val="center"/>
        <w:rPr>
          <w:rFonts w:ascii="仿宋_GB2312" w:eastAsia="仿宋_GB2312" w:hAnsi="仿宋_GB2312"/>
          <w:b/>
          <w:sz w:val="32"/>
          <w:szCs w:val="32"/>
        </w:rPr>
      </w:pPr>
    </w:p>
    <w:p w:rsidR="0081436D" w:rsidRDefault="0081436D">
      <w:pPr>
        <w:jc w:val="center"/>
        <w:rPr>
          <w:rFonts w:ascii="仿宋_GB2312" w:eastAsia="仿宋_GB2312" w:hAnsi="仿宋_GB2312"/>
          <w:b/>
          <w:sz w:val="32"/>
          <w:szCs w:val="32"/>
        </w:rPr>
      </w:pPr>
    </w:p>
    <w:p w:rsidR="0081436D" w:rsidRDefault="0081436D">
      <w:pPr>
        <w:rPr>
          <w:rFonts w:ascii="仿宋_GB2312" w:eastAsia="仿宋_GB2312" w:hAnsi="仿宋_GB2312"/>
          <w:b/>
          <w:sz w:val="32"/>
          <w:szCs w:val="32"/>
        </w:rPr>
      </w:pPr>
    </w:p>
    <w:p w:rsidR="0081436D" w:rsidRDefault="0081436D">
      <w:pPr>
        <w:rPr>
          <w:rFonts w:ascii="仿宋_GB2312" w:eastAsia="仿宋_GB2312" w:hAnsi="仿宋_GB2312"/>
          <w:b/>
          <w:sz w:val="32"/>
          <w:szCs w:val="32"/>
        </w:rPr>
      </w:pPr>
    </w:p>
    <w:p w:rsidR="0081436D" w:rsidRDefault="0081436D">
      <w:pPr>
        <w:rPr>
          <w:rFonts w:ascii="仿宋_GB2312" w:eastAsia="仿宋_GB2312" w:hAnsi="仿宋_GB2312"/>
          <w:b/>
          <w:sz w:val="32"/>
          <w:szCs w:val="32"/>
        </w:rPr>
      </w:pPr>
    </w:p>
    <w:p w:rsidR="0081436D" w:rsidRDefault="0081436D">
      <w:pPr>
        <w:rPr>
          <w:rFonts w:ascii="仿宋_GB2312" w:eastAsia="仿宋_GB2312" w:hAnsi="仿宋_GB2312"/>
          <w:b/>
          <w:sz w:val="32"/>
          <w:szCs w:val="32"/>
        </w:rPr>
      </w:pPr>
    </w:p>
    <w:p w:rsidR="0081436D" w:rsidRDefault="00BD165F">
      <w:pPr>
        <w:jc w:val="center"/>
        <w:rPr>
          <w:rFonts w:ascii="仿宋_GB2312" w:eastAsia="仿宋_GB2312" w:hAnsi="仿宋_GB2312"/>
          <w:b/>
          <w:spacing w:val="6"/>
          <w:sz w:val="36"/>
          <w:szCs w:val="36"/>
        </w:rPr>
      </w:pPr>
      <w:r>
        <w:rPr>
          <w:rFonts w:ascii="仿宋_GB2312" w:eastAsia="仿宋_GB2312" w:hAnsi="仿宋_GB2312"/>
          <w:b/>
          <w:sz w:val="36"/>
          <w:szCs w:val="36"/>
        </w:rPr>
        <w:t>管理人：光大理财有限责任公司</w:t>
      </w:r>
    </w:p>
    <w:p w:rsidR="0081436D" w:rsidRDefault="00BD165F">
      <w:pPr>
        <w:jc w:val="center"/>
        <w:rPr>
          <w:rFonts w:ascii="仿宋_GB2312" w:eastAsia="仿宋_GB2312" w:hAnsi="仿宋_GB2312"/>
          <w:b/>
          <w:spacing w:val="6"/>
          <w:sz w:val="36"/>
          <w:szCs w:val="36"/>
        </w:rPr>
      </w:pPr>
      <w:r>
        <w:rPr>
          <w:rFonts w:ascii="仿宋_GB2312" w:eastAsia="仿宋_GB2312" w:hAnsi="仿宋_GB2312"/>
          <w:b/>
          <w:sz w:val="36"/>
          <w:szCs w:val="36"/>
        </w:rPr>
        <w:t>托管人：</w:t>
      </w:r>
      <w:r>
        <w:rPr>
          <w:rFonts w:ascii="仿宋_GB2312" w:eastAsia="仿宋_GB2312" w:hAnsi="仿宋_GB2312" w:hint="eastAsia"/>
          <w:b/>
          <w:sz w:val="36"/>
          <w:szCs w:val="36"/>
        </w:rPr>
        <w:t>中国建设银行股份有限公司北京市分行</w:t>
      </w:r>
    </w:p>
    <w:p w:rsidR="0081436D" w:rsidRDefault="0081436D">
      <w:pPr>
        <w:rPr>
          <w:rFonts w:ascii="仿宋_GB2312" w:eastAsia="仿宋_GB2312" w:hAnsi="仿宋_GB2312"/>
          <w:b/>
          <w:sz w:val="32"/>
          <w:szCs w:val="32"/>
        </w:rPr>
      </w:pPr>
    </w:p>
    <w:p w:rsidR="0081436D" w:rsidRDefault="0081436D">
      <w:pPr>
        <w:rPr>
          <w:rFonts w:ascii="华文中宋" w:eastAsia="华文中宋" w:hAnsi="华文中宋"/>
          <w:b/>
          <w:sz w:val="32"/>
          <w:szCs w:val="32"/>
        </w:rPr>
      </w:pPr>
    </w:p>
    <w:p w:rsidR="0081436D" w:rsidRDefault="00BD165F">
      <w:pPr>
        <w:jc w:val="center"/>
        <w:rPr>
          <w:rFonts w:ascii="宋体" w:hAnsi="宋体"/>
          <w:b/>
          <w:spacing w:val="6"/>
          <w:sz w:val="32"/>
          <w:szCs w:val="32"/>
        </w:rPr>
      </w:pPr>
      <w:r>
        <w:rPr>
          <w:rFonts w:ascii="宋体" w:hAnsi="宋体"/>
          <w:b/>
          <w:spacing w:val="6"/>
          <w:sz w:val="32"/>
          <w:szCs w:val="32"/>
        </w:rPr>
        <w:t xml:space="preserve"> </w:t>
      </w:r>
    </w:p>
    <w:p w:rsidR="0081436D" w:rsidRDefault="0081436D">
      <w:pPr>
        <w:outlineLvl w:val="0"/>
        <w:rPr>
          <w:rFonts w:ascii="华文中宋" w:eastAsia="华文中宋" w:hAnsi="华文中宋"/>
          <w:b/>
          <w:sz w:val="32"/>
          <w:szCs w:val="32"/>
        </w:rPr>
      </w:pPr>
    </w:p>
    <w:p w:rsidR="0081436D" w:rsidRDefault="0081436D">
      <w:pPr>
        <w:outlineLvl w:val="0"/>
        <w:rPr>
          <w:rFonts w:ascii="华文中宋" w:eastAsia="华文中宋" w:hAnsi="华文中宋"/>
          <w:b/>
          <w:sz w:val="32"/>
          <w:szCs w:val="32"/>
        </w:rPr>
      </w:pPr>
    </w:p>
    <w:p w:rsidR="0081436D" w:rsidRDefault="00BD165F">
      <w:pPr>
        <w:spacing w:before="240" w:after="240"/>
        <w:jc w:val="center"/>
        <w:outlineLvl w:val="0"/>
        <w:rPr>
          <w:rFonts w:ascii="宋体" w:hAnsi="宋体"/>
          <w:b/>
          <w:bCs/>
          <w:sz w:val="30"/>
          <w:szCs w:val="30"/>
        </w:rPr>
      </w:pPr>
      <w:r>
        <w:rPr>
          <w:rFonts w:ascii="华文中宋" w:eastAsia="华文中宋" w:hAnsi="华文中宋"/>
          <w:sz w:val="32"/>
          <w:szCs w:val="32"/>
        </w:rPr>
        <w:t xml:space="preserve">　</w:t>
      </w:r>
    </w:p>
    <w:p w:rsidR="0081436D" w:rsidRDefault="0081436D">
      <w:pPr>
        <w:spacing w:before="240" w:after="240"/>
        <w:jc w:val="center"/>
        <w:outlineLvl w:val="0"/>
        <w:rPr>
          <w:rFonts w:ascii="宋体" w:hAnsi="宋体"/>
          <w:b/>
          <w:sz w:val="44"/>
          <w:szCs w:val="44"/>
        </w:rPr>
        <w:sectPr w:rsidR="0081436D">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pgNumType w:start="1"/>
          <w:cols w:space="1701"/>
          <w:titlePg/>
          <w:docGrid w:type="lines" w:linePitch="312"/>
        </w:sectPr>
      </w:pPr>
      <w:bookmarkStart w:id="4" w:name="_Toc11918"/>
      <w:bookmarkStart w:id="5" w:name="_Toc15331"/>
      <w:bookmarkStart w:id="6" w:name="_Toc19180"/>
      <w:bookmarkStart w:id="7" w:name="_Toc8692"/>
      <w:bookmarkStart w:id="8" w:name="_Toc28761"/>
      <w:bookmarkStart w:id="9" w:name="_Toc17639"/>
      <w:bookmarkStart w:id="10" w:name="_Toc30577"/>
    </w:p>
    <w:p w:rsidR="0081436D" w:rsidRDefault="00BD165F">
      <w:pPr>
        <w:spacing w:before="240" w:after="240"/>
        <w:jc w:val="center"/>
        <w:outlineLvl w:val="0"/>
        <w:rPr>
          <w:rFonts w:ascii="宋体" w:hAnsi="宋体"/>
          <w:b/>
          <w:sz w:val="44"/>
          <w:szCs w:val="44"/>
        </w:rPr>
      </w:pPr>
      <w:bookmarkStart w:id="11" w:name="_Toc32435"/>
      <w:bookmarkStart w:id="12" w:name="_Toc9961"/>
      <w:bookmarkStart w:id="13" w:name="_Toc6715"/>
      <w:r>
        <w:rPr>
          <w:rFonts w:ascii="仿宋_GB2312" w:eastAsia="仿宋_GB2312" w:hAnsi="仿宋_GB2312"/>
          <w:b/>
          <w:sz w:val="44"/>
          <w:szCs w:val="44"/>
        </w:rPr>
        <w:lastRenderedPageBreak/>
        <w:t>目</w:t>
      </w:r>
      <w:r>
        <w:rPr>
          <w:rFonts w:ascii="仿宋_GB2312" w:eastAsia="仿宋_GB2312" w:hAnsi="仿宋_GB2312"/>
          <w:b/>
          <w:sz w:val="44"/>
          <w:szCs w:val="44"/>
        </w:rPr>
        <w:t xml:space="preserve"> </w:t>
      </w:r>
      <w:r>
        <w:rPr>
          <w:rFonts w:ascii="仿宋_GB2312" w:eastAsia="仿宋_GB2312" w:hAnsi="仿宋_GB2312"/>
          <w:b/>
          <w:sz w:val="44"/>
          <w:szCs w:val="44"/>
        </w:rPr>
        <w:t>录</w:t>
      </w:r>
      <w:bookmarkEnd w:id="4"/>
      <w:bookmarkEnd w:id="5"/>
      <w:bookmarkEnd w:id="6"/>
      <w:bookmarkEnd w:id="7"/>
      <w:bookmarkEnd w:id="8"/>
      <w:bookmarkEnd w:id="9"/>
      <w:bookmarkEnd w:id="10"/>
      <w:bookmarkEnd w:id="11"/>
      <w:bookmarkEnd w:id="12"/>
      <w:bookmarkEnd w:id="13"/>
    </w:p>
    <w:p w:rsidR="0081436D" w:rsidRDefault="00BD165F">
      <w:pPr>
        <w:pStyle w:val="11"/>
        <w:tabs>
          <w:tab w:val="right" w:leader="dot" w:pos="8306"/>
        </w:tabs>
        <w:rPr>
          <w:rFonts w:ascii="仿宋_GB2312" w:eastAsia="仿宋_GB2312" w:hAnsi="仿宋_GB2312" w:cs="仿宋_GB2312"/>
          <w:sz w:val="32"/>
          <w:szCs w:val="32"/>
        </w:rPr>
      </w:pPr>
      <w:r>
        <w:rPr>
          <w:rFonts w:ascii="仿宋_GB2312" w:eastAsia="仿宋_GB2312" w:hAnsi="仿宋_GB2312" w:cs="仿宋_GB2312" w:hint="eastAsia"/>
          <w:b/>
          <w:sz w:val="32"/>
          <w:szCs w:val="32"/>
        </w:rPr>
        <w:fldChar w:fldCharType="begin"/>
      </w:r>
      <w:r>
        <w:rPr>
          <w:rFonts w:ascii="仿宋_GB2312" w:eastAsia="仿宋_GB2312" w:hAnsi="仿宋_GB2312" w:cs="仿宋_GB2312" w:hint="eastAsia"/>
          <w:b/>
          <w:sz w:val="32"/>
          <w:szCs w:val="32"/>
        </w:rPr>
        <w:instrText xml:space="preserve">TOC \o "1-1" \h \u </w:instrText>
      </w:r>
      <w:r>
        <w:rPr>
          <w:rFonts w:ascii="仿宋_GB2312" w:eastAsia="仿宋_GB2312" w:hAnsi="仿宋_GB2312" w:cs="仿宋_GB2312" w:hint="eastAsia"/>
          <w:b/>
          <w:sz w:val="32"/>
          <w:szCs w:val="32"/>
        </w:rPr>
        <w:fldChar w:fldCharType="separate"/>
      </w:r>
      <w:hyperlink w:anchor="_Toc11366" w:history="1">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托管协议当事人</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_Toc11366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fldChar w:fldCharType="end"/>
        </w:r>
      </w:hyperlink>
    </w:p>
    <w:p w:rsidR="0081436D" w:rsidRDefault="00BD165F">
      <w:pPr>
        <w:pStyle w:val="11"/>
        <w:tabs>
          <w:tab w:val="right" w:leader="dot" w:pos="8306"/>
        </w:tabs>
        <w:rPr>
          <w:rFonts w:ascii="仿宋_GB2312" w:eastAsia="仿宋_GB2312" w:hAnsi="仿宋_GB2312" w:cs="仿宋_GB2312"/>
          <w:sz w:val="32"/>
          <w:szCs w:val="32"/>
        </w:rPr>
      </w:pPr>
      <w:hyperlink w:anchor="_Toc15900" w:history="1">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订立托管协议的依据、目的和原则</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_Toc15900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fldChar w:fldCharType="end"/>
        </w:r>
      </w:hyperlink>
    </w:p>
    <w:p w:rsidR="0081436D" w:rsidRDefault="00BD165F">
      <w:pPr>
        <w:pStyle w:val="11"/>
        <w:tabs>
          <w:tab w:val="right" w:leader="dot" w:pos="8306"/>
        </w:tabs>
        <w:rPr>
          <w:rFonts w:ascii="仿宋_GB2312" w:eastAsia="仿宋_GB2312" w:hAnsi="仿宋_GB2312" w:cs="仿宋_GB2312"/>
          <w:sz w:val="32"/>
          <w:szCs w:val="32"/>
        </w:rPr>
      </w:pPr>
      <w:hyperlink w:anchor="_Toc29760" w:history="1">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释义</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_Toc29760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fldChar w:fldCharType="end"/>
        </w:r>
      </w:hyperlink>
    </w:p>
    <w:p w:rsidR="0081436D" w:rsidRDefault="00BD165F">
      <w:pPr>
        <w:pStyle w:val="11"/>
        <w:tabs>
          <w:tab w:val="right" w:leader="dot" w:pos="8306"/>
        </w:tabs>
        <w:rPr>
          <w:rFonts w:ascii="仿宋_GB2312" w:eastAsia="仿宋_GB2312" w:hAnsi="仿宋_GB2312" w:cs="仿宋_GB2312"/>
          <w:sz w:val="32"/>
          <w:szCs w:val="32"/>
        </w:rPr>
      </w:pPr>
      <w:hyperlink w:anchor="_Toc21616" w:history="1">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当事人权利与义务</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_Toc21616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fldChar w:fldCharType="end"/>
        </w:r>
      </w:hyperlink>
    </w:p>
    <w:p w:rsidR="0081436D" w:rsidRDefault="00BD165F">
      <w:pPr>
        <w:pStyle w:val="11"/>
        <w:tabs>
          <w:tab w:val="right" w:leader="dot" w:pos="8306"/>
        </w:tabs>
        <w:rPr>
          <w:rFonts w:ascii="仿宋_GB2312" w:eastAsia="仿宋_GB2312" w:hAnsi="仿宋_GB2312" w:cs="仿宋_GB2312"/>
          <w:sz w:val="32"/>
          <w:szCs w:val="32"/>
        </w:rPr>
      </w:pPr>
      <w:hyperlink w:anchor="_Toc7865" w:history="1">
        <w:r>
          <w:rPr>
            <w:rFonts w:ascii="仿宋_GB2312" w:eastAsia="仿宋_GB2312" w:hAnsi="仿宋_GB2312" w:cs="仿宋_GB2312" w:hint="eastAsia"/>
            <w:sz w:val="32"/>
            <w:szCs w:val="32"/>
          </w:rPr>
          <w:t>五、</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财产保管</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_Toc7865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fldChar w:fldCharType="end"/>
        </w:r>
      </w:hyperlink>
    </w:p>
    <w:p w:rsidR="0081436D" w:rsidRDefault="00BD165F">
      <w:pPr>
        <w:pStyle w:val="11"/>
        <w:tabs>
          <w:tab w:val="right" w:leader="dot" w:pos="8306"/>
        </w:tabs>
        <w:rPr>
          <w:rFonts w:ascii="仿宋_GB2312" w:eastAsia="仿宋_GB2312" w:hAnsi="仿宋_GB2312" w:cs="仿宋_GB2312"/>
          <w:sz w:val="32"/>
          <w:szCs w:val="32"/>
        </w:rPr>
      </w:pPr>
      <w:hyperlink w:anchor="_Toc26434" w:history="1">
        <w:r>
          <w:rPr>
            <w:rFonts w:ascii="仿宋_GB2312" w:eastAsia="仿宋_GB2312" w:hAnsi="仿宋_GB2312" w:cs="仿宋_GB2312" w:hint="eastAsia"/>
            <w:sz w:val="32"/>
            <w:szCs w:val="32"/>
          </w:rPr>
          <w:t>六、</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投资范围和限制</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_Toc26434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14</w:t>
        </w:r>
        <w:r>
          <w:rPr>
            <w:rFonts w:ascii="仿宋_GB2312" w:eastAsia="仿宋_GB2312" w:hAnsi="仿宋_GB2312" w:cs="仿宋_GB2312" w:hint="eastAsia"/>
            <w:sz w:val="32"/>
            <w:szCs w:val="32"/>
          </w:rPr>
          <w:fldChar w:fldCharType="end"/>
        </w:r>
      </w:hyperlink>
    </w:p>
    <w:p w:rsidR="0081436D" w:rsidRDefault="00BD165F">
      <w:pPr>
        <w:pStyle w:val="11"/>
        <w:tabs>
          <w:tab w:val="right" w:leader="dot" w:pos="8306"/>
        </w:tabs>
        <w:rPr>
          <w:rFonts w:ascii="仿宋_GB2312" w:eastAsia="仿宋_GB2312" w:hAnsi="仿宋_GB2312" w:cs="仿宋_GB2312"/>
          <w:sz w:val="32"/>
          <w:szCs w:val="32"/>
        </w:rPr>
      </w:pPr>
      <w:hyperlink w:anchor="_Toc8106" w:history="1">
        <w:r>
          <w:rPr>
            <w:rFonts w:ascii="仿宋_GB2312" w:eastAsia="仿宋_GB2312" w:hAnsi="仿宋_GB2312" w:cs="仿宋_GB2312" w:hint="eastAsia"/>
            <w:sz w:val="32"/>
            <w:szCs w:val="32"/>
          </w:rPr>
          <w:t>七、</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指令的发送、确认与执行</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_Toc8106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fldChar w:fldCharType="end"/>
        </w:r>
      </w:hyperlink>
    </w:p>
    <w:p w:rsidR="0081436D" w:rsidRDefault="00BD165F">
      <w:pPr>
        <w:pStyle w:val="11"/>
        <w:tabs>
          <w:tab w:val="right" w:leader="dot" w:pos="8306"/>
        </w:tabs>
        <w:rPr>
          <w:rFonts w:ascii="仿宋_GB2312" w:eastAsia="仿宋_GB2312" w:hAnsi="仿宋_GB2312" w:cs="仿宋_GB2312"/>
          <w:sz w:val="32"/>
          <w:szCs w:val="32"/>
        </w:rPr>
      </w:pPr>
      <w:hyperlink w:anchor="_Toc26585" w:history="1">
        <w:r>
          <w:rPr>
            <w:rFonts w:ascii="仿宋_GB2312" w:eastAsia="仿宋_GB2312" w:hAnsi="仿宋_GB2312" w:cs="仿宋_GB2312" w:hint="eastAsia"/>
            <w:sz w:val="32"/>
            <w:szCs w:val="32"/>
          </w:rPr>
          <w:t>八、</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交易及清算交收安排</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_Toc26585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19</w:t>
        </w:r>
        <w:r>
          <w:rPr>
            <w:rFonts w:ascii="仿宋_GB2312" w:eastAsia="仿宋_GB2312" w:hAnsi="仿宋_GB2312" w:cs="仿宋_GB2312" w:hint="eastAsia"/>
            <w:sz w:val="32"/>
            <w:szCs w:val="32"/>
          </w:rPr>
          <w:fldChar w:fldCharType="end"/>
        </w:r>
      </w:hyperlink>
    </w:p>
    <w:p w:rsidR="0081436D" w:rsidRDefault="00BD165F">
      <w:pPr>
        <w:pStyle w:val="11"/>
        <w:tabs>
          <w:tab w:val="right" w:leader="dot" w:pos="8306"/>
        </w:tabs>
        <w:rPr>
          <w:rFonts w:ascii="仿宋_GB2312" w:eastAsia="仿宋_GB2312" w:hAnsi="仿宋_GB2312" w:cs="仿宋_GB2312"/>
          <w:sz w:val="32"/>
          <w:szCs w:val="32"/>
        </w:rPr>
      </w:pPr>
      <w:hyperlink w:anchor="_Toc1224" w:history="1">
        <w:r>
          <w:rPr>
            <w:rFonts w:ascii="仿宋_GB2312" w:eastAsia="仿宋_GB2312" w:hAnsi="仿宋_GB2312" w:cs="仿宋_GB2312" w:hint="eastAsia"/>
            <w:sz w:val="32"/>
            <w:szCs w:val="32"/>
          </w:rPr>
          <w:t>九、</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会计核算与估值</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_Toc1224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25</w:t>
        </w:r>
        <w:r>
          <w:rPr>
            <w:rFonts w:ascii="仿宋_GB2312" w:eastAsia="仿宋_GB2312" w:hAnsi="仿宋_GB2312" w:cs="仿宋_GB2312" w:hint="eastAsia"/>
            <w:sz w:val="32"/>
            <w:szCs w:val="32"/>
          </w:rPr>
          <w:fldChar w:fldCharType="end"/>
        </w:r>
      </w:hyperlink>
    </w:p>
    <w:p w:rsidR="0081436D" w:rsidRDefault="00BD165F">
      <w:pPr>
        <w:pStyle w:val="11"/>
        <w:tabs>
          <w:tab w:val="right" w:leader="dot" w:pos="8306"/>
        </w:tabs>
        <w:rPr>
          <w:rFonts w:ascii="仿宋_GB2312" w:eastAsia="仿宋_GB2312" w:hAnsi="仿宋_GB2312" w:cs="仿宋_GB2312"/>
          <w:sz w:val="32"/>
          <w:szCs w:val="32"/>
        </w:rPr>
      </w:pPr>
      <w:hyperlink w:anchor="_Toc12406" w:history="1">
        <w:r>
          <w:rPr>
            <w:rFonts w:ascii="仿宋_GB2312" w:eastAsia="仿宋_GB2312" w:hAnsi="仿宋_GB2312" w:cs="仿宋_GB2312" w:hint="eastAsia"/>
            <w:sz w:val="32"/>
            <w:szCs w:val="32"/>
          </w:rPr>
          <w:t>十、</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投资监督</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_Toc12406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29</w:t>
        </w:r>
        <w:r>
          <w:rPr>
            <w:rFonts w:ascii="仿宋_GB2312" w:eastAsia="仿宋_GB2312" w:hAnsi="仿宋_GB2312" w:cs="仿宋_GB2312" w:hint="eastAsia"/>
            <w:sz w:val="32"/>
            <w:szCs w:val="32"/>
          </w:rPr>
          <w:fldChar w:fldCharType="end"/>
        </w:r>
      </w:hyperlink>
    </w:p>
    <w:p w:rsidR="0081436D" w:rsidRDefault="00BD165F">
      <w:pPr>
        <w:pStyle w:val="11"/>
        <w:tabs>
          <w:tab w:val="right" w:leader="dot" w:pos="8306"/>
        </w:tabs>
        <w:rPr>
          <w:rFonts w:ascii="仿宋_GB2312" w:eastAsia="仿宋_GB2312" w:hAnsi="仿宋_GB2312" w:cs="仿宋_GB2312"/>
          <w:sz w:val="32"/>
          <w:szCs w:val="32"/>
        </w:rPr>
      </w:pPr>
      <w:hyperlink w:anchor="_Toc15657" w:history="1">
        <w:r>
          <w:rPr>
            <w:rFonts w:ascii="仿宋_GB2312" w:eastAsia="仿宋_GB2312" w:hAnsi="仿宋_GB2312" w:cs="仿宋_GB2312" w:hint="eastAsia"/>
            <w:sz w:val="32"/>
            <w:szCs w:val="32"/>
          </w:rPr>
          <w:t>十一、</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收益分配</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_Toc15657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32</w:t>
        </w:r>
        <w:r>
          <w:rPr>
            <w:rFonts w:ascii="仿宋_GB2312" w:eastAsia="仿宋_GB2312" w:hAnsi="仿宋_GB2312" w:cs="仿宋_GB2312" w:hint="eastAsia"/>
            <w:sz w:val="32"/>
            <w:szCs w:val="32"/>
          </w:rPr>
          <w:fldChar w:fldCharType="end"/>
        </w:r>
      </w:hyperlink>
    </w:p>
    <w:p w:rsidR="0081436D" w:rsidRDefault="00BD165F">
      <w:pPr>
        <w:pStyle w:val="11"/>
        <w:tabs>
          <w:tab w:val="right" w:leader="dot" w:pos="8306"/>
        </w:tabs>
        <w:rPr>
          <w:rFonts w:ascii="仿宋_GB2312" w:eastAsia="仿宋_GB2312" w:hAnsi="仿宋_GB2312" w:cs="仿宋_GB2312"/>
          <w:sz w:val="32"/>
          <w:szCs w:val="32"/>
        </w:rPr>
      </w:pPr>
      <w:hyperlink w:anchor="_Toc25165" w:history="1">
        <w:r>
          <w:rPr>
            <w:rFonts w:ascii="仿宋_GB2312" w:eastAsia="仿宋_GB2312" w:hAnsi="仿宋_GB2312" w:cs="仿宋_GB2312" w:hint="eastAsia"/>
            <w:sz w:val="32"/>
            <w:szCs w:val="32"/>
          </w:rPr>
          <w:t>十二、</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费用与税收</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_Toc25165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33</w:t>
        </w:r>
        <w:r>
          <w:rPr>
            <w:rFonts w:ascii="仿宋_GB2312" w:eastAsia="仿宋_GB2312" w:hAnsi="仿宋_GB2312" w:cs="仿宋_GB2312" w:hint="eastAsia"/>
            <w:sz w:val="32"/>
            <w:szCs w:val="32"/>
          </w:rPr>
          <w:fldChar w:fldCharType="end"/>
        </w:r>
      </w:hyperlink>
    </w:p>
    <w:p w:rsidR="0081436D" w:rsidRDefault="00BD165F">
      <w:pPr>
        <w:pStyle w:val="11"/>
        <w:tabs>
          <w:tab w:val="right" w:leader="dot" w:pos="8306"/>
        </w:tabs>
        <w:rPr>
          <w:rFonts w:ascii="仿宋_GB2312" w:eastAsia="仿宋_GB2312" w:hAnsi="仿宋_GB2312" w:cs="仿宋_GB2312"/>
          <w:sz w:val="32"/>
          <w:szCs w:val="32"/>
        </w:rPr>
      </w:pPr>
      <w:hyperlink w:anchor="_Toc25052" w:history="1">
        <w:r>
          <w:rPr>
            <w:rFonts w:ascii="仿宋_GB2312" w:eastAsia="仿宋_GB2312" w:hAnsi="仿宋_GB2312" w:cs="仿宋_GB2312" w:hint="eastAsia"/>
            <w:sz w:val="32"/>
            <w:szCs w:val="32"/>
          </w:rPr>
          <w:t>十三、</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理财产品变更、终止、清算</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_Toc25052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36</w:t>
        </w:r>
        <w:r>
          <w:rPr>
            <w:rFonts w:ascii="仿宋_GB2312" w:eastAsia="仿宋_GB2312" w:hAnsi="仿宋_GB2312" w:cs="仿宋_GB2312" w:hint="eastAsia"/>
            <w:sz w:val="32"/>
            <w:szCs w:val="32"/>
          </w:rPr>
          <w:fldChar w:fldCharType="end"/>
        </w:r>
      </w:hyperlink>
    </w:p>
    <w:p w:rsidR="0081436D" w:rsidRDefault="00BD165F">
      <w:pPr>
        <w:pStyle w:val="11"/>
        <w:tabs>
          <w:tab w:val="right" w:leader="dot" w:pos="8306"/>
        </w:tabs>
        <w:rPr>
          <w:rFonts w:ascii="仿宋_GB2312" w:eastAsia="仿宋_GB2312" w:hAnsi="仿宋_GB2312" w:cs="仿宋_GB2312"/>
          <w:sz w:val="32"/>
          <w:szCs w:val="32"/>
        </w:rPr>
      </w:pPr>
      <w:hyperlink w:anchor="_Toc25645" w:history="1">
        <w:r>
          <w:rPr>
            <w:rFonts w:ascii="仿宋_GB2312" w:eastAsia="仿宋_GB2312" w:hAnsi="仿宋_GB2312" w:cs="仿宋_GB2312" w:hint="eastAsia"/>
            <w:sz w:val="32"/>
            <w:szCs w:val="32"/>
          </w:rPr>
          <w:t>十四、</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信息披露</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_Toc25645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37</w:t>
        </w:r>
        <w:r>
          <w:rPr>
            <w:rFonts w:ascii="仿宋_GB2312" w:eastAsia="仿宋_GB2312" w:hAnsi="仿宋_GB2312" w:cs="仿宋_GB2312" w:hint="eastAsia"/>
            <w:sz w:val="32"/>
            <w:szCs w:val="32"/>
          </w:rPr>
          <w:fldChar w:fldCharType="end"/>
        </w:r>
      </w:hyperlink>
    </w:p>
    <w:p w:rsidR="0081436D" w:rsidRDefault="00BD165F">
      <w:pPr>
        <w:pStyle w:val="11"/>
        <w:tabs>
          <w:tab w:val="right" w:leader="dot" w:pos="8306"/>
        </w:tabs>
        <w:rPr>
          <w:rFonts w:ascii="仿宋_GB2312" w:eastAsia="仿宋_GB2312" w:hAnsi="仿宋_GB2312" w:cs="仿宋_GB2312"/>
          <w:sz w:val="32"/>
          <w:szCs w:val="32"/>
        </w:rPr>
      </w:pPr>
      <w:hyperlink w:anchor="_Toc12396" w:history="1">
        <w:r>
          <w:rPr>
            <w:rFonts w:ascii="仿宋_GB2312" w:eastAsia="仿宋_GB2312" w:hAnsi="仿宋_GB2312" w:cs="仿宋_GB2312" w:hint="eastAsia"/>
            <w:sz w:val="32"/>
            <w:szCs w:val="32"/>
          </w:rPr>
          <w:t>十五、</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文件档案保存和保密</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_Toc12396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39</w:t>
        </w:r>
        <w:r>
          <w:rPr>
            <w:rFonts w:ascii="仿宋_GB2312" w:eastAsia="仿宋_GB2312" w:hAnsi="仿宋_GB2312" w:cs="仿宋_GB2312" w:hint="eastAsia"/>
            <w:sz w:val="32"/>
            <w:szCs w:val="32"/>
          </w:rPr>
          <w:fldChar w:fldCharType="end"/>
        </w:r>
      </w:hyperlink>
    </w:p>
    <w:p w:rsidR="0081436D" w:rsidRDefault="00BD165F">
      <w:pPr>
        <w:pStyle w:val="11"/>
        <w:tabs>
          <w:tab w:val="right" w:leader="dot" w:pos="8306"/>
        </w:tabs>
        <w:rPr>
          <w:rFonts w:ascii="仿宋_GB2312" w:eastAsia="仿宋_GB2312" w:hAnsi="仿宋_GB2312" w:cs="仿宋_GB2312"/>
          <w:sz w:val="32"/>
          <w:szCs w:val="32"/>
        </w:rPr>
      </w:pPr>
      <w:hyperlink w:anchor="_Toc3981" w:history="1">
        <w:r>
          <w:rPr>
            <w:rFonts w:ascii="仿宋_GB2312" w:eastAsia="仿宋_GB2312" w:hAnsi="仿宋_GB2312" w:cs="仿宋_GB2312" w:hint="eastAsia"/>
            <w:sz w:val="32"/>
            <w:szCs w:val="32"/>
          </w:rPr>
          <w:t>十六、</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违约责任</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_Toc3981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39</w:t>
        </w:r>
        <w:r>
          <w:rPr>
            <w:rFonts w:ascii="仿宋_GB2312" w:eastAsia="仿宋_GB2312" w:hAnsi="仿宋_GB2312" w:cs="仿宋_GB2312" w:hint="eastAsia"/>
            <w:sz w:val="32"/>
            <w:szCs w:val="32"/>
          </w:rPr>
          <w:fldChar w:fldCharType="end"/>
        </w:r>
      </w:hyperlink>
    </w:p>
    <w:p w:rsidR="0081436D" w:rsidRDefault="00BD165F">
      <w:pPr>
        <w:pStyle w:val="11"/>
        <w:tabs>
          <w:tab w:val="right" w:leader="dot" w:pos="8306"/>
        </w:tabs>
        <w:rPr>
          <w:rFonts w:ascii="仿宋_GB2312" w:eastAsia="仿宋_GB2312" w:hAnsi="仿宋_GB2312" w:cs="仿宋_GB2312"/>
          <w:sz w:val="32"/>
          <w:szCs w:val="32"/>
        </w:rPr>
      </w:pPr>
      <w:hyperlink w:anchor="_Toc11840" w:history="1">
        <w:r>
          <w:rPr>
            <w:rFonts w:ascii="仿宋_GB2312" w:eastAsia="仿宋_GB2312" w:hAnsi="仿宋_GB2312" w:cs="仿宋_GB2312" w:hint="eastAsia"/>
            <w:sz w:val="32"/>
            <w:szCs w:val="32"/>
          </w:rPr>
          <w:t>十七、</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协议的效力</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_Toc11840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41</w:t>
        </w:r>
        <w:r>
          <w:rPr>
            <w:rFonts w:ascii="仿宋_GB2312" w:eastAsia="仿宋_GB2312" w:hAnsi="仿宋_GB2312" w:cs="仿宋_GB2312" w:hint="eastAsia"/>
            <w:sz w:val="32"/>
            <w:szCs w:val="32"/>
          </w:rPr>
          <w:fldChar w:fldCharType="end"/>
        </w:r>
      </w:hyperlink>
    </w:p>
    <w:p w:rsidR="0081436D" w:rsidRDefault="00BD165F">
      <w:pPr>
        <w:pStyle w:val="11"/>
        <w:tabs>
          <w:tab w:val="right" w:leader="dot" w:pos="8306"/>
        </w:tabs>
        <w:rPr>
          <w:rFonts w:ascii="仿宋_GB2312" w:eastAsia="仿宋_GB2312" w:hAnsi="仿宋_GB2312" w:cs="仿宋_GB2312"/>
          <w:sz w:val="32"/>
          <w:szCs w:val="32"/>
        </w:rPr>
      </w:pPr>
      <w:hyperlink w:anchor="_Toc18133" w:history="1">
        <w:r>
          <w:rPr>
            <w:rFonts w:ascii="仿宋_GB2312" w:eastAsia="仿宋_GB2312" w:hAnsi="仿宋_GB2312" w:cs="仿宋_GB2312" w:hint="eastAsia"/>
            <w:sz w:val="32"/>
            <w:szCs w:val="32"/>
          </w:rPr>
          <w:t>十八、</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争议的解决方式</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_Toc18133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42</w:t>
        </w:r>
        <w:r>
          <w:rPr>
            <w:rFonts w:ascii="仿宋_GB2312" w:eastAsia="仿宋_GB2312" w:hAnsi="仿宋_GB2312" w:cs="仿宋_GB2312" w:hint="eastAsia"/>
            <w:sz w:val="32"/>
            <w:szCs w:val="32"/>
          </w:rPr>
          <w:fldChar w:fldCharType="end"/>
        </w:r>
      </w:hyperlink>
    </w:p>
    <w:p w:rsidR="0081436D" w:rsidRDefault="00BD165F">
      <w:pPr>
        <w:spacing w:line="590" w:lineRule="exact"/>
        <w:jc w:val="both"/>
        <w:outlineLvl w:val="0"/>
        <w:rPr>
          <w:rFonts w:ascii="仿宋_GB2312" w:eastAsia="仿宋_GB2312" w:hAnsi="仿宋_GB2312"/>
          <w:sz w:val="32"/>
          <w:szCs w:val="32"/>
        </w:rPr>
      </w:pPr>
      <w:r>
        <w:rPr>
          <w:rFonts w:ascii="仿宋_GB2312" w:eastAsia="仿宋_GB2312" w:hAnsi="仿宋_GB2312" w:cs="仿宋_GB2312" w:hint="eastAsia"/>
          <w:sz w:val="32"/>
          <w:szCs w:val="32"/>
        </w:rPr>
        <w:fldChar w:fldCharType="end"/>
      </w:r>
    </w:p>
    <w:p w:rsidR="0081436D" w:rsidRDefault="0081436D">
      <w:pPr>
        <w:pStyle w:val="1"/>
        <w:tabs>
          <w:tab w:val="clear" w:pos="0"/>
        </w:tabs>
        <w:spacing w:before="0" w:line="580" w:lineRule="exact"/>
        <w:jc w:val="center"/>
        <w:rPr>
          <w:rFonts w:ascii="仿宋_GB2312" w:eastAsia="仿宋_GB2312" w:hAnsi="仿宋_GB2312"/>
          <w:sz w:val="32"/>
          <w:szCs w:val="32"/>
        </w:rPr>
        <w:sectPr w:rsidR="0081436D">
          <w:footerReference w:type="default" r:id="rId15"/>
          <w:footerReference w:type="first" r:id="rId16"/>
          <w:pgSz w:w="11906" w:h="16838"/>
          <w:pgMar w:top="1440" w:right="1800" w:bottom="1440" w:left="1800" w:header="851" w:footer="992" w:gutter="0"/>
          <w:pgNumType w:start="1"/>
          <w:cols w:space="1701"/>
          <w:titlePg/>
          <w:docGrid w:type="lines" w:linePitch="312"/>
        </w:sectPr>
      </w:pPr>
      <w:bookmarkStart w:id="14" w:name="_Toc21028"/>
      <w:bookmarkStart w:id="15" w:name="_Toc85085138"/>
      <w:bookmarkStart w:id="16" w:name="_Toc425952817"/>
      <w:bookmarkStart w:id="17" w:name="_Toc85084282"/>
      <w:bookmarkStart w:id="18" w:name="_Toc32243"/>
      <w:bookmarkStart w:id="19" w:name="_Toc25295"/>
      <w:bookmarkStart w:id="20" w:name="_Toc115229083"/>
      <w:bookmarkStart w:id="21" w:name="_Toc164655145"/>
      <w:bookmarkStart w:id="22" w:name="_Toc32507"/>
      <w:bookmarkStart w:id="23" w:name="_Toc13298"/>
      <w:bookmarkStart w:id="24" w:name="_Toc25089"/>
      <w:bookmarkStart w:id="25" w:name="_Toc15946"/>
    </w:p>
    <w:p w:rsidR="0081436D" w:rsidRDefault="00BD165F">
      <w:pPr>
        <w:pStyle w:val="1"/>
        <w:tabs>
          <w:tab w:val="clear" w:pos="0"/>
          <w:tab w:val="clear" w:pos="5246"/>
        </w:tabs>
        <w:spacing w:before="0" w:line="590" w:lineRule="exact"/>
        <w:ind w:left="0"/>
        <w:jc w:val="center"/>
        <w:rPr>
          <w:rFonts w:ascii="仿宋_GB2312" w:eastAsia="仿宋_GB2312" w:hAnsi="仿宋_GB2312"/>
          <w:sz w:val="32"/>
          <w:szCs w:val="32"/>
        </w:rPr>
      </w:pPr>
      <w:bookmarkStart w:id="26" w:name="_Toc23637"/>
      <w:bookmarkStart w:id="27" w:name="_Toc17167"/>
      <w:bookmarkStart w:id="28" w:name="_Toc11366"/>
      <w:r>
        <w:rPr>
          <w:rFonts w:ascii="仿宋_GB2312" w:eastAsia="仿宋_GB2312" w:hAnsi="仿宋_GB2312"/>
          <w:sz w:val="32"/>
          <w:szCs w:val="32"/>
        </w:rPr>
        <w:lastRenderedPageBreak/>
        <w:t>托管协议当事人</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rsidR="0081436D" w:rsidRDefault="00BD165F" w:rsidP="005D01BD">
      <w:pPr>
        <w:spacing w:line="590" w:lineRule="exact"/>
        <w:ind w:firstLineChars="200" w:firstLine="652"/>
        <w:jc w:val="both"/>
        <w:rPr>
          <w:rFonts w:ascii="仿宋_GB2312" w:eastAsia="仿宋_GB2312" w:hAnsi="仿宋_GB2312"/>
          <w:spacing w:val="6"/>
          <w:sz w:val="32"/>
          <w:szCs w:val="32"/>
        </w:rPr>
      </w:pPr>
      <w:r>
        <w:rPr>
          <w:rFonts w:ascii="仿宋_GB2312" w:eastAsia="仿宋_GB2312" w:hAnsi="仿宋_GB2312"/>
          <w:spacing w:val="6"/>
          <w:sz w:val="32"/>
          <w:szCs w:val="32"/>
        </w:rPr>
        <w:t>（一）管理人</w:t>
      </w:r>
      <w:r>
        <w:rPr>
          <w:rFonts w:ascii="仿宋_GB2312" w:eastAsia="仿宋_GB2312" w:hAnsi="仿宋_GB2312"/>
          <w:spacing w:val="6"/>
          <w:sz w:val="32"/>
          <w:szCs w:val="32"/>
        </w:rPr>
        <w:t>/</w:t>
      </w:r>
      <w:r>
        <w:rPr>
          <w:rFonts w:ascii="仿宋_GB2312" w:eastAsia="仿宋_GB2312" w:hAnsi="仿宋_GB2312"/>
          <w:spacing w:val="6"/>
          <w:sz w:val="32"/>
          <w:szCs w:val="32"/>
        </w:rPr>
        <w:t>甲方</w:t>
      </w:r>
    </w:p>
    <w:p w:rsidR="0081436D" w:rsidRDefault="00BD165F" w:rsidP="005D01BD">
      <w:pPr>
        <w:spacing w:line="590" w:lineRule="exact"/>
        <w:ind w:firstLineChars="200" w:firstLine="652"/>
        <w:jc w:val="both"/>
        <w:rPr>
          <w:rFonts w:ascii="仿宋_GB2312" w:eastAsia="仿宋_GB2312" w:hAnsi="仿宋_GB2312"/>
          <w:spacing w:val="6"/>
          <w:sz w:val="32"/>
          <w:szCs w:val="32"/>
        </w:rPr>
      </w:pPr>
      <w:r>
        <w:rPr>
          <w:rFonts w:ascii="仿宋_GB2312" w:eastAsia="仿宋_GB2312" w:hAnsi="仿宋_GB2312"/>
          <w:spacing w:val="6"/>
          <w:sz w:val="32"/>
          <w:szCs w:val="32"/>
        </w:rPr>
        <w:t>名称：光大理财有限责任公司</w:t>
      </w:r>
    </w:p>
    <w:p w:rsidR="0081436D" w:rsidRDefault="00BD165F" w:rsidP="005D01BD">
      <w:pPr>
        <w:spacing w:line="590" w:lineRule="exact"/>
        <w:ind w:firstLineChars="200" w:firstLine="652"/>
        <w:jc w:val="both"/>
        <w:rPr>
          <w:rFonts w:ascii="仿宋_GB2312" w:eastAsia="仿宋_GB2312" w:hAnsi="仿宋_GB2312"/>
          <w:spacing w:val="6"/>
          <w:sz w:val="32"/>
          <w:szCs w:val="32"/>
        </w:rPr>
      </w:pPr>
      <w:r>
        <w:rPr>
          <w:rFonts w:ascii="仿宋_GB2312" w:eastAsia="仿宋_GB2312" w:hAnsi="仿宋_GB2312"/>
          <w:spacing w:val="6"/>
          <w:sz w:val="32"/>
          <w:szCs w:val="32"/>
        </w:rPr>
        <w:t>地址：山东省青岛市崂山区香港东路</w:t>
      </w:r>
      <w:r>
        <w:rPr>
          <w:rFonts w:ascii="仿宋_GB2312" w:eastAsia="仿宋_GB2312" w:hAnsi="仿宋_GB2312"/>
          <w:spacing w:val="6"/>
          <w:sz w:val="32"/>
          <w:szCs w:val="32"/>
        </w:rPr>
        <w:t>195</w:t>
      </w:r>
      <w:r>
        <w:rPr>
          <w:rFonts w:ascii="仿宋_GB2312" w:eastAsia="仿宋_GB2312" w:hAnsi="仿宋_GB2312"/>
          <w:spacing w:val="6"/>
          <w:sz w:val="32"/>
          <w:szCs w:val="32"/>
        </w:rPr>
        <w:t>号</w:t>
      </w:r>
      <w:r>
        <w:rPr>
          <w:rFonts w:ascii="仿宋_GB2312" w:eastAsia="仿宋_GB2312" w:hAnsi="仿宋_GB2312"/>
          <w:spacing w:val="6"/>
          <w:sz w:val="32"/>
          <w:szCs w:val="32"/>
        </w:rPr>
        <w:t>4</w:t>
      </w:r>
      <w:r>
        <w:rPr>
          <w:rFonts w:ascii="仿宋_GB2312" w:eastAsia="仿宋_GB2312" w:hAnsi="仿宋_GB2312"/>
          <w:spacing w:val="6"/>
          <w:sz w:val="32"/>
          <w:szCs w:val="32"/>
        </w:rPr>
        <w:t>号楼</w:t>
      </w:r>
      <w:r>
        <w:rPr>
          <w:rFonts w:ascii="仿宋_GB2312" w:eastAsia="仿宋_GB2312" w:hAnsi="仿宋_GB2312"/>
          <w:spacing w:val="6"/>
          <w:sz w:val="32"/>
          <w:szCs w:val="32"/>
        </w:rPr>
        <w:t>16</w:t>
      </w:r>
      <w:r>
        <w:rPr>
          <w:rFonts w:ascii="仿宋_GB2312" w:eastAsia="仿宋_GB2312" w:hAnsi="仿宋_GB2312"/>
          <w:spacing w:val="6"/>
          <w:sz w:val="32"/>
          <w:szCs w:val="32"/>
        </w:rPr>
        <w:t>至</w:t>
      </w:r>
      <w:r>
        <w:rPr>
          <w:rFonts w:ascii="仿宋_GB2312" w:eastAsia="仿宋_GB2312" w:hAnsi="仿宋_GB2312"/>
          <w:spacing w:val="6"/>
          <w:sz w:val="32"/>
          <w:szCs w:val="32"/>
        </w:rPr>
        <w:t>19</w:t>
      </w:r>
      <w:r>
        <w:rPr>
          <w:rFonts w:ascii="仿宋_GB2312" w:eastAsia="仿宋_GB2312" w:hAnsi="仿宋_GB2312"/>
          <w:spacing w:val="6"/>
          <w:sz w:val="32"/>
          <w:szCs w:val="32"/>
        </w:rPr>
        <w:t>层</w:t>
      </w:r>
    </w:p>
    <w:p w:rsidR="0081436D" w:rsidRDefault="00BD165F" w:rsidP="005D01BD">
      <w:pPr>
        <w:spacing w:line="590" w:lineRule="exact"/>
        <w:ind w:firstLineChars="200" w:firstLine="652"/>
        <w:jc w:val="both"/>
        <w:rPr>
          <w:rFonts w:ascii="仿宋_GB2312" w:eastAsia="仿宋_GB2312" w:hAnsi="仿宋_GB2312"/>
          <w:spacing w:val="6"/>
          <w:sz w:val="32"/>
          <w:szCs w:val="32"/>
        </w:rPr>
      </w:pPr>
      <w:r>
        <w:rPr>
          <w:rFonts w:ascii="仿宋_GB2312" w:eastAsia="仿宋_GB2312" w:hAnsi="仿宋_GB2312"/>
          <w:spacing w:val="6"/>
          <w:sz w:val="32"/>
          <w:szCs w:val="32"/>
        </w:rPr>
        <w:t>邮政编码：</w:t>
      </w:r>
      <w:r>
        <w:rPr>
          <w:rFonts w:ascii="仿宋_GB2312" w:eastAsia="仿宋_GB2312" w:hAnsi="仿宋_GB2312"/>
          <w:spacing w:val="6"/>
          <w:sz w:val="32"/>
          <w:szCs w:val="32"/>
        </w:rPr>
        <w:t>266000</w:t>
      </w:r>
    </w:p>
    <w:p w:rsidR="0081436D" w:rsidRDefault="00BD165F" w:rsidP="005D01BD">
      <w:pPr>
        <w:spacing w:line="590" w:lineRule="exact"/>
        <w:ind w:firstLineChars="200" w:firstLine="652"/>
        <w:jc w:val="both"/>
        <w:rPr>
          <w:rFonts w:ascii="仿宋_GB2312" w:eastAsia="仿宋_GB2312" w:hAnsi="仿宋_GB2312"/>
          <w:spacing w:val="6"/>
          <w:sz w:val="32"/>
          <w:szCs w:val="32"/>
        </w:rPr>
      </w:pPr>
      <w:r>
        <w:rPr>
          <w:rFonts w:ascii="仿宋_GB2312" w:eastAsia="仿宋_GB2312" w:hAnsi="仿宋_GB2312"/>
          <w:spacing w:val="6"/>
          <w:sz w:val="32"/>
          <w:szCs w:val="32"/>
        </w:rPr>
        <w:t>法定代表人：任锋</w:t>
      </w:r>
    </w:p>
    <w:p w:rsidR="0081436D" w:rsidRDefault="00BD165F" w:rsidP="005D01BD">
      <w:pPr>
        <w:spacing w:line="590" w:lineRule="exact"/>
        <w:ind w:firstLineChars="200" w:firstLine="652"/>
        <w:jc w:val="both"/>
        <w:rPr>
          <w:rFonts w:ascii="仿宋_GB2312" w:eastAsia="仿宋_GB2312" w:hAnsi="仿宋_GB2312"/>
          <w:spacing w:val="6"/>
          <w:sz w:val="32"/>
          <w:szCs w:val="32"/>
        </w:rPr>
      </w:pPr>
      <w:r>
        <w:rPr>
          <w:rFonts w:ascii="仿宋_GB2312" w:eastAsia="仿宋_GB2312" w:hAnsi="仿宋_GB2312"/>
          <w:spacing w:val="6"/>
          <w:sz w:val="32"/>
          <w:szCs w:val="32"/>
        </w:rPr>
        <w:t>联系人：</w:t>
      </w:r>
      <w:r w:rsidR="00C251A9">
        <w:rPr>
          <w:rFonts w:ascii="仿宋_GB2312" w:eastAsia="仿宋_GB2312" w:hAnsi="仿宋_GB2312"/>
          <w:spacing w:val="6"/>
          <w:sz w:val="32"/>
          <w:szCs w:val="32"/>
        </w:rPr>
        <w:t xml:space="preserve"> </w:t>
      </w:r>
    </w:p>
    <w:p w:rsidR="0081436D" w:rsidRDefault="00BD165F" w:rsidP="005D01BD">
      <w:pPr>
        <w:spacing w:line="590" w:lineRule="exact"/>
        <w:ind w:firstLineChars="200" w:firstLine="652"/>
        <w:jc w:val="both"/>
        <w:rPr>
          <w:rFonts w:ascii="仿宋_GB2312" w:eastAsia="仿宋_GB2312" w:hAnsi="仿宋_GB2312"/>
          <w:sz w:val="32"/>
          <w:szCs w:val="32"/>
        </w:rPr>
      </w:pPr>
      <w:r>
        <w:rPr>
          <w:rFonts w:ascii="仿宋_GB2312" w:eastAsia="仿宋_GB2312" w:hAnsi="仿宋_GB2312"/>
          <w:spacing w:val="6"/>
          <w:sz w:val="32"/>
          <w:szCs w:val="32"/>
        </w:rPr>
        <w:t>联系电话</w:t>
      </w:r>
      <w:r>
        <w:rPr>
          <w:rFonts w:ascii="仿宋_GB2312" w:eastAsia="仿宋_GB2312" w:hAnsi="仿宋_GB2312"/>
          <w:sz w:val="32"/>
          <w:szCs w:val="32"/>
        </w:rPr>
        <w:t>：</w:t>
      </w:r>
    </w:p>
    <w:p w:rsidR="0081436D" w:rsidRDefault="00BD165F">
      <w:pPr>
        <w:spacing w:line="590" w:lineRule="exact"/>
        <w:ind w:firstLineChars="200" w:firstLine="640"/>
        <w:jc w:val="both"/>
        <w:rPr>
          <w:rFonts w:ascii="仿宋_GB2312" w:eastAsia="仿宋_GB2312" w:hAnsi="仿宋_GB2312"/>
          <w:sz w:val="32"/>
          <w:szCs w:val="32"/>
        </w:rPr>
      </w:pPr>
      <w:r>
        <w:rPr>
          <w:rFonts w:ascii="仿宋_GB2312" w:eastAsia="仿宋_GB2312" w:hAnsi="仿宋_GB2312"/>
          <w:sz w:val="32"/>
          <w:szCs w:val="32"/>
        </w:rPr>
        <w:t>联系邮箱：</w:t>
      </w:r>
    </w:p>
    <w:p w:rsidR="0081436D" w:rsidRDefault="0081436D">
      <w:pPr>
        <w:pStyle w:val="210"/>
        <w:spacing w:line="590" w:lineRule="exact"/>
        <w:ind w:firstLineChars="200" w:firstLine="640"/>
        <w:jc w:val="both"/>
        <w:outlineLvl w:val="9"/>
        <w:rPr>
          <w:sz w:val="32"/>
          <w:szCs w:val="32"/>
        </w:rPr>
      </w:pPr>
    </w:p>
    <w:p w:rsidR="0081436D" w:rsidRDefault="00BD165F" w:rsidP="005D01BD">
      <w:pPr>
        <w:spacing w:line="590" w:lineRule="exact"/>
        <w:ind w:firstLineChars="200" w:firstLine="652"/>
        <w:jc w:val="both"/>
        <w:rPr>
          <w:rFonts w:ascii="仿宋_GB2312" w:eastAsia="仿宋_GB2312" w:hAnsi="仿宋_GB2312"/>
          <w:spacing w:val="6"/>
          <w:sz w:val="32"/>
          <w:szCs w:val="32"/>
        </w:rPr>
      </w:pPr>
      <w:r>
        <w:rPr>
          <w:rFonts w:ascii="仿宋_GB2312" w:eastAsia="仿宋_GB2312" w:hAnsi="仿宋_GB2312"/>
          <w:spacing w:val="6"/>
          <w:sz w:val="32"/>
          <w:szCs w:val="32"/>
        </w:rPr>
        <w:t>（二）托管人</w:t>
      </w:r>
      <w:r>
        <w:rPr>
          <w:rFonts w:ascii="仿宋_GB2312" w:eastAsia="仿宋_GB2312" w:hAnsi="仿宋_GB2312"/>
          <w:spacing w:val="6"/>
          <w:sz w:val="32"/>
          <w:szCs w:val="32"/>
        </w:rPr>
        <w:t>/</w:t>
      </w:r>
      <w:r>
        <w:rPr>
          <w:rFonts w:ascii="仿宋_GB2312" w:eastAsia="仿宋_GB2312" w:hAnsi="仿宋_GB2312"/>
          <w:spacing w:val="6"/>
          <w:sz w:val="32"/>
          <w:szCs w:val="32"/>
        </w:rPr>
        <w:t>乙方</w:t>
      </w:r>
    </w:p>
    <w:p w:rsidR="0081436D" w:rsidRDefault="00BD165F" w:rsidP="005D01BD">
      <w:pPr>
        <w:spacing w:line="590" w:lineRule="exact"/>
        <w:ind w:firstLineChars="200" w:firstLine="652"/>
        <w:jc w:val="both"/>
        <w:rPr>
          <w:rFonts w:ascii="仿宋_GB2312" w:eastAsia="仿宋_GB2312" w:hAnsi="仿宋_GB2312"/>
          <w:spacing w:val="6"/>
          <w:sz w:val="32"/>
          <w:szCs w:val="32"/>
        </w:rPr>
      </w:pPr>
      <w:r>
        <w:rPr>
          <w:rFonts w:ascii="仿宋_GB2312" w:eastAsia="仿宋_GB2312" w:hAnsi="仿宋_GB2312"/>
          <w:spacing w:val="6"/>
          <w:sz w:val="32"/>
          <w:szCs w:val="32"/>
        </w:rPr>
        <w:t>名称：</w:t>
      </w:r>
      <w:r>
        <w:rPr>
          <w:rFonts w:ascii="仿宋_GB2312" w:eastAsia="仿宋_GB2312" w:hAnsi="仿宋_GB2312" w:hint="eastAsia"/>
          <w:spacing w:val="6"/>
          <w:sz w:val="32"/>
          <w:szCs w:val="32"/>
        </w:rPr>
        <w:t>中国建设银行股份有限公司北京市分行</w:t>
      </w:r>
    </w:p>
    <w:p w:rsidR="0081436D" w:rsidRDefault="00BD165F" w:rsidP="005D01BD">
      <w:pPr>
        <w:spacing w:line="590" w:lineRule="exact"/>
        <w:ind w:firstLineChars="200" w:firstLine="652"/>
        <w:jc w:val="both"/>
        <w:rPr>
          <w:rFonts w:ascii="仿宋_GB2312" w:eastAsia="仿宋_GB2312" w:hAnsi="仿宋_GB2312"/>
          <w:spacing w:val="6"/>
          <w:sz w:val="32"/>
          <w:szCs w:val="32"/>
        </w:rPr>
      </w:pPr>
      <w:r>
        <w:rPr>
          <w:rFonts w:ascii="仿宋_GB2312" w:eastAsia="仿宋_GB2312" w:hAnsi="仿宋_GB2312"/>
          <w:spacing w:val="6"/>
          <w:sz w:val="32"/>
          <w:szCs w:val="32"/>
        </w:rPr>
        <w:t>地址：</w:t>
      </w:r>
      <w:r>
        <w:rPr>
          <w:rFonts w:ascii="仿宋_GB2312" w:eastAsia="仿宋_GB2312" w:hAnsi="仿宋_GB2312" w:hint="eastAsia"/>
          <w:spacing w:val="6"/>
          <w:sz w:val="32"/>
          <w:szCs w:val="32"/>
        </w:rPr>
        <w:t>北京市西城区宣武门西大街</w:t>
      </w:r>
      <w:r>
        <w:rPr>
          <w:rFonts w:ascii="仿宋_GB2312" w:eastAsia="仿宋_GB2312" w:hAnsi="仿宋_GB2312" w:hint="eastAsia"/>
          <w:spacing w:val="6"/>
          <w:sz w:val="32"/>
          <w:szCs w:val="32"/>
        </w:rPr>
        <w:t>28</w:t>
      </w:r>
      <w:r>
        <w:rPr>
          <w:rFonts w:ascii="仿宋_GB2312" w:eastAsia="仿宋_GB2312" w:hAnsi="仿宋_GB2312" w:hint="eastAsia"/>
          <w:spacing w:val="6"/>
          <w:sz w:val="32"/>
          <w:szCs w:val="32"/>
        </w:rPr>
        <w:t>号楼大成广场</w:t>
      </w:r>
      <w:r>
        <w:rPr>
          <w:rFonts w:ascii="仿宋_GB2312" w:eastAsia="仿宋_GB2312" w:hAnsi="仿宋_GB2312" w:hint="eastAsia"/>
          <w:spacing w:val="6"/>
          <w:sz w:val="32"/>
          <w:szCs w:val="32"/>
        </w:rPr>
        <w:t>4</w:t>
      </w:r>
      <w:r>
        <w:rPr>
          <w:rFonts w:ascii="仿宋_GB2312" w:eastAsia="仿宋_GB2312" w:hAnsi="仿宋_GB2312" w:hint="eastAsia"/>
          <w:spacing w:val="6"/>
          <w:sz w:val="32"/>
          <w:szCs w:val="32"/>
        </w:rPr>
        <w:t>门</w:t>
      </w:r>
      <w:r>
        <w:rPr>
          <w:rFonts w:ascii="仿宋_GB2312" w:eastAsia="仿宋_GB2312" w:hAnsi="仿宋_GB2312" w:hint="eastAsia"/>
          <w:spacing w:val="6"/>
          <w:sz w:val="32"/>
          <w:szCs w:val="32"/>
        </w:rPr>
        <w:t>8</w:t>
      </w:r>
      <w:r>
        <w:rPr>
          <w:rFonts w:ascii="仿宋_GB2312" w:eastAsia="仿宋_GB2312" w:hAnsi="仿宋_GB2312" w:hint="eastAsia"/>
          <w:spacing w:val="6"/>
          <w:sz w:val="32"/>
          <w:szCs w:val="32"/>
        </w:rPr>
        <w:t>门</w:t>
      </w:r>
    </w:p>
    <w:p w:rsidR="0081436D" w:rsidRDefault="00BD165F" w:rsidP="005D01BD">
      <w:pPr>
        <w:spacing w:line="590" w:lineRule="exact"/>
        <w:ind w:firstLineChars="200" w:firstLine="652"/>
        <w:jc w:val="both"/>
        <w:rPr>
          <w:rFonts w:ascii="仿宋_GB2312" w:eastAsia="仿宋_GB2312" w:hAnsi="仿宋_GB2312"/>
          <w:spacing w:val="6"/>
          <w:sz w:val="32"/>
          <w:szCs w:val="32"/>
        </w:rPr>
      </w:pPr>
      <w:r>
        <w:rPr>
          <w:rFonts w:ascii="仿宋_GB2312" w:eastAsia="仿宋_GB2312" w:hAnsi="仿宋_GB2312"/>
          <w:spacing w:val="6"/>
          <w:sz w:val="32"/>
          <w:szCs w:val="32"/>
        </w:rPr>
        <w:t>邮政编码：</w:t>
      </w:r>
      <w:r>
        <w:rPr>
          <w:rFonts w:ascii="仿宋_GB2312" w:eastAsia="仿宋_GB2312" w:hAnsi="仿宋_GB2312"/>
          <w:spacing w:val="6"/>
          <w:sz w:val="32"/>
          <w:szCs w:val="32"/>
        </w:rPr>
        <w:t>100032</w:t>
      </w:r>
    </w:p>
    <w:p w:rsidR="0081436D" w:rsidRDefault="00BD165F" w:rsidP="005D01BD">
      <w:pPr>
        <w:spacing w:line="590" w:lineRule="exact"/>
        <w:ind w:firstLineChars="200" w:firstLine="652"/>
        <w:jc w:val="both"/>
        <w:rPr>
          <w:rFonts w:ascii="仿宋_GB2312" w:eastAsia="仿宋_GB2312" w:hAnsi="仿宋_GB2312"/>
          <w:spacing w:val="6"/>
          <w:sz w:val="32"/>
          <w:szCs w:val="32"/>
        </w:rPr>
      </w:pPr>
      <w:r>
        <w:rPr>
          <w:rFonts w:ascii="仿宋_GB2312" w:eastAsia="仿宋_GB2312" w:hAnsi="仿宋_GB2312"/>
          <w:spacing w:val="6"/>
          <w:sz w:val="32"/>
          <w:szCs w:val="32"/>
        </w:rPr>
        <w:t>负责人：</w:t>
      </w:r>
      <w:r>
        <w:rPr>
          <w:rFonts w:ascii="仿宋_GB2312" w:eastAsia="仿宋_GB2312" w:hAnsi="仿宋_GB2312" w:hint="eastAsia"/>
          <w:spacing w:val="6"/>
          <w:sz w:val="32"/>
          <w:szCs w:val="32"/>
        </w:rPr>
        <w:t>林朝晖</w:t>
      </w:r>
    </w:p>
    <w:p w:rsidR="0081436D" w:rsidRDefault="00BD165F" w:rsidP="005D01BD">
      <w:pPr>
        <w:spacing w:line="590" w:lineRule="exact"/>
        <w:ind w:firstLineChars="200" w:firstLine="652"/>
        <w:jc w:val="both"/>
        <w:rPr>
          <w:rFonts w:ascii="仿宋_GB2312" w:eastAsia="仿宋_GB2312" w:hAnsi="仿宋_GB2312"/>
          <w:spacing w:val="6"/>
          <w:sz w:val="32"/>
          <w:szCs w:val="32"/>
        </w:rPr>
      </w:pPr>
      <w:r>
        <w:rPr>
          <w:rFonts w:ascii="仿宋_GB2312" w:eastAsia="仿宋_GB2312" w:hAnsi="仿宋_GB2312"/>
          <w:spacing w:val="6"/>
          <w:sz w:val="32"/>
          <w:szCs w:val="32"/>
        </w:rPr>
        <w:t>联系人：</w:t>
      </w:r>
      <w:r w:rsidR="00C251A9">
        <w:rPr>
          <w:rFonts w:ascii="仿宋_GB2312" w:eastAsia="仿宋_GB2312" w:hAnsi="仿宋_GB2312"/>
          <w:spacing w:val="6"/>
          <w:sz w:val="32"/>
          <w:szCs w:val="32"/>
        </w:rPr>
        <w:t xml:space="preserve"> </w:t>
      </w:r>
    </w:p>
    <w:p w:rsidR="0081436D" w:rsidRDefault="00BD165F" w:rsidP="005D01BD">
      <w:pPr>
        <w:spacing w:line="590" w:lineRule="exact"/>
        <w:ind w:firstLineChars="200" w:firstLine="652"/>
        <w:jc w:val="both"/>
        <w:rPr>
          <w:rFonts w:ascii="仿宋_GB2312" w:eastAsia="仿宋_GB2312" w:hAnsi="仿宋_GB2312"/>
          <w:spacing w:val="6"/>
          <w:sz w:val="32"/>
          <w:szCs w:val="32"/>
        </w:rPr>
      </w:pPr>
      <w:r>
        <w:rPr>
          <w:rFonts w:ascii="仿宋_GB2312" w:eastAsia="仿宋_GB2312" w:hAnsi="仿宋_GB2312"/>
          <w:spacing w:val="6"/>
          <w:sz w:val="32"/>
          <w:szCs w:val="32"/>
        </w:rPr>
        <w:t>联系电话：</w:t>
      </w:r>
    </w:p>
    <w:p w:rsidR="0081436D" w:rsidRDefault="00BD165F" w:rsidP="005D01BD">
      <w:pPr>
        <w:widowControl w:val="0"/>
        <w:spacing w:line="590" w:lineRule="exact"/>
        <w:ind w:firstLineChars="200" w:firstLine="652"/>
        <w:jc w:val="both"/>
        <w:rPr>
          <w:rFonts w:ascii="仿宋_GB2312" w:eastAsia="仿宋_GB2312" w:hAnsi="仿宋_GB2312"/>
          <w:spacing w:val="6"/>
          <w:sz w:val="32"/>
          <w:szCs w:val="32"/>
        </w:rPr>
      </w:pPr>
      <w:r>
        <w:rPr>
          <w:rFonts w:ascii="仿宋_GB2312" w:eastAsia="仿宋_GB2312" w:hAnsi="仿宋_GB2312"/>
          <w:spacing w:val="6"/>
          <w:sz w:val="32"/>
          <w:szCs w:val="32"/>
        </w:rPr>
        <w:t>联系邮箱：</w:t>
      </w:r>
      <w:bookmarkStart w:id="29" w:name="_GoBack"/>
      <w:bookmarkEnd w:id="29"/>
    </w:p>
    <w:p w:rsidR="0081436D" w:rsidRDefault="0081436D">
      <w:pPr>
        <w:pStyle w:val="210"/>
        <w:widowControl w:val="0"/>
        <w:spacing w:line="590" w:lineRule="exact"/>
        <w:ind w:firstLineChars="200" w:firstLine="640"/>
        <w:jc w:val="both"/>
        <w:outlineLvl w:val="9"/>
        <w:rPr>
          <w:sz w:val="32"/>
          <w:szCs w:val="32"/>
        </w:rPr>
      </w:pPr>
    </w:p>
    <w:p w:rsidR="0081436D" w:rsidRDefault="0081436D">
      <w:pPr>
        <w:spacing w:line="590" w:lineRule="exact"/>
        <w:ind w:firstLineChars="200" w:firstLine="640"/>
        <w:jc w:val="both"/>
        <w:rPr>
          <w:rFonts w:ascii="仿宋_GB2312" w:eastAsia="仿宋_GB2312" w:hAnsi="仿宋_GB2312"/>
          <w:sz w:val="32"/>
          <w:szCs w:val="32"/>
        </w:rPr>
        <w:sectPr w:rsidR="0081436D">
          <w:footerReference w:type="default" r:id="rId17"/>
          <w:footerReference w:type="first" r:id="rId18"/>
          <w:pgSz w:w="11906" w:h="16838"/>
          <w:pgMar w:top="1440" w:right="1800" w:bottom="1440" w:left="1800" w:header="851" w:footer="992" w:gutter="0"/>
          <w:pgNumType w:start="1"/>
          <w:cols w:space="1701"/>
          <w:docGrid w:type="lines" w:linePitch="312"/>
        </w:sectPr>
      </w:pPr>
      <w:bookmarkStart w:id="30" w:name="_Toc26292"/>
      <w:bookmarkStart w:id="31" w:name="_Toc10870"/>
      <w:bookmarkStart w:id="32" w:name="_Toc25327"/>
      <w:bookmarkStart w:id="33" w:name="_Toc15130"/>
      <w:bookmarkStart w:id="34" w:name="_Toc24185"/>
      <w:bookmarkStart w:id="35" w:name="_Toc8038"/>
      <w:bookmarkStart w:id="36" w:name="_Toc12077"/>
      <w:bookmarkStart w:id="37" w:name="_Toc14121"/>
      <w:bookmarkStart w:id="38" w:name="_Toc27553"/>
      <w:bookmarkStart w:id="39" w:name="_Toc425952818"/>
      <w:bookmarkStart w:id="40" w:name="_Toc115229085"/>
      <w:bookmarkStart w:id="41" w:name="_Toc85084283"/>
      <w:bookmarkStart w:id="42" w:name="_Toc76806353"/>
      <w:bookmarkStart w:id="43" w:name="_Toc164655147"/>
      <w:bookmarkStart w:id="44" w:name="_Toc85085139"/>
    </w:p>
    <w:p w:rsidR="0081436D" w:rsidRDefault="00BD165F">
      <w:pPr>
        <w:pStyle w:val="1"/>
        <w:tabs>
          <w:tab w:val="clear" w:pos="0"/>
          <w:tab w:val="clear" w:pos="5246"/>
        </w:tabs>
        <w:spacing w:before="0" w:line="590" w:lineRule="exact"/>
        <w:ind w:left="0"/>
        <w:jc w:val="center"/>
        <w:rPr>
          <w:rFonts w:ascii="仿宋_GB2312" w:eastAsia="仿宋_GB2312" w:hAnsi="仿宋_GB2312"/>
          <w:sz w:val="32"/>
          <w:szCs w:val="32"/>
        </w:rPr>
      </w:pPr>
      <w:bookmarkStart w:id="45" w:name="_Toc15900"/>
      <w:r>
        <w:rPr>
          <w:rFonts w:ascii="仿宋_GB2312" w:eastAsia="仿宋_GB2312" w:hAnsi="仿宋_GB2312"/>
          <w:sz w:val="32"/>
          <w:szCs w:val="32"/>
        </w:rPr>
        <w:lastRenderedPageBreak/>
        <w:t>订立托管协议的依据、目的和原则</w:t>
      </w:r>
      <w:bookmarkEnd w:id="30"/>
      <w:bookmarkEnd w:id="31"/>
      <w:bookmarkEnd w:id="32"/>
      <w:bookmarkEnd w:id="33"/>
      <w:bookmarkEnd w:id="34"/>
      <w:bookmarkEnd w:id="35"/>
      <w:bookmarkEnd w:id="36"/>
      <w:bookmarkEnd w:id="37"/>
      <w:bookmarkEnd w:id="38"/>
      <w:bookmarkEnd w:id="45"/>
    </w:p>
    <w:p w:rsidR="0081436D" w:rsidRDefault="00BD165F">
      <w:pPr>
        <w:widowControl w:val="0"/>
        <w:spacing w:line="590" w:lineRule="exact"/>
        <w:ind w:firstLineChars="200" w:firstLine="640"/>
        <w:jc w:val="both"/>
        <w:rPr>
          <w:rFonts w:ascii="仿宋_GB2312" w:eastAsia="仿宋_GB2312" w:hAnsi="仿宋_GB2312"/>
          <w:sz w:val="32"/>
          <w:szCs w:val="32"/>
        </w:rPr>
      </w:pPr>
      <w:r>
        <w:rPr>
          <w:rFonts w:ascii="仿宋_GB2312" w:eastAsia="仿宋_GB2312" w:hAnsi="仿宋_GB2312"/>
          <w:sz w:val="32"/>
          <w:szCs w:val="32"/>
        </w:rPr>
        <w:t>订立本协议的依据是《中华人民共和国民法典》、《中华人民共和国银行业监督管理法》、《中华人民共和国商业银行法》、《关于规范金融机构资产管理业务的指导意见》、《商业银行理财业务监督管理办法》、《商业银行理财子公司管理办法》及其他有关法律、行政法规等规定。</w:t>
      </w:r>
    </w:p>
    <w:p w:rsidR="0081436D" w:rsidRDefault="00BD165F">
      <w:pPr>
        <w:widowControl w:val="0"/>
        <w:spacing w:line="590" w:lineRule="exact"/>
        <w:ind w:firstLineChars="200" w:firstLine="640"/>
        <w:jc w:val="both"/>
        <w:rPr>
          <w:rFonts w:ascii="仿宋_GB2312" w:eastAsia="仿宋_GB2312" w:hAnsi="仿宋_GB2312"/>
          <w:sz w:val="32"/>
          <w:szCs w:val="32"/>
        </w:rPr>
      </w:pPr>
      <w:r>
        <w:rPr>
          <w:rFonts w:ascii="仿宋_GB2312" w:eastAsia="仿宋_GB2312" w:hAnsi="仿宋_GB2312"/>
          <w:sz w:val="32"/>
          <w:szCs w:val="32"/>
        </w:rPr>
        <w:t>订立本协议的目的是明确管理人与托管人在理财产品财产保管、投资运作、会计核算、收益分配以及相互监</w:t>
      </w:r>
      <w:r>
        <w:rPr>
          <w:rFonts w:ascii="仿宋_GB2312" w:eastAsia="仿宋_GB2312" w:hAnsi="仿宋_GB2312"/>
          <w:sz w:val="32"/>
          <w:szCs w:val="32"/>
        </w:rPr>
        <w:t>督等相关事宜中的权利、义务，确保理财产品财产安全，保护理财产品投资者的合法权益。</w:t>
      </w:r>
    </w:p>
    <w:p w:rsidR="0081436D" w:rsidRDefault="00BD165F">
      <w:pPr>
        <w:spacing w:line="590" w:lineRule="exact"/>
        <w:ind w:firstLineChars="200" w:firstLine="640"/>
        <w:jc w:val="both"/>
        <w:rPr>
          <w:rFonts w:ascii="仿宋_GB2312" w:eastAsia="仿宋_GB2312" w:hAnsi="仿宋_GB2312"/>
          <w:sz w:val="32"/>
          <w:szCs w:val="32"/>
        </w:rPr>
      </w:pPr>
      <w:r>
        <w:rPr>
          <w:rFonts w:ascii="仿宋_GB2312" w:eastAsia="仿宋_GB2312" w:hAnsi="仿宋_GB2312"/>
          <w:sz w:val="32"/>
          <w:szCs w:val="32"/>
        </w:rPr>
        <w:t>管理人和托管人本着平等自愿、诚实信用、充分保护理财产品投资者合法权益的原则，经协商一致，签订本协议。</w:t>
      </w:r>
    </w:p>
    <w:p w:rsidR="0081436D" w:rsidRDefault="00BD165F">
      <w:pPr>
        <w:spacing w:line="590" w:lineRule="exact"/>
        <w:ind w:firstLineChars="200" w:firstLine="640"/>
        <w:jc w:val="both"/>
        <w:rPr>
          <w:rFonts w:ascii="仿宋_GB2312" w:eastAsia="仿宋_GB2312" w:hAnsi="仿宋_GB2312"/>
          <w:sz w:val="32"/>
          <w:szCs w:val="32"/>
        </w:rPr>
      </w:pPr>
      <w:r>
        <w:rPr>
          <w:rFonts w:ascii="仿宋_GB2312" w:eastAsia="仿宋_GB2312" w:hAnsi="仿宋_GB2312"/>
          <w:sz w:val="32"/>
          <w:szCs w:val="32"/>
        </w:rPr>
        <w:t>管理人应保证理财产品的资金来源及用途合法，未违反国家法律法规及监管规定的各项要求，并保证理财产品合法设立。</w:t>
      </w:r>
    </w:p>
    <w:p w:rsidR="0081436D" w:rsidRDefault="0081436D">
      <w:pPr>
        <w:spacing w:line="590" w:lineRule="exact"/>
        <w:ind w:firstLineChars="200" w:firstLine="640"/>
        <w:jc w:val="both"/>
        <w:rPr>
          <w:rFonts w:ascii="仿宋_GB2312" w:eastAsia="仿宋_GB2312" w:hAnsi="仿宋_GB2312"/>
          <w:sz w:val="32"/>
          <w:szCs w:val="32"/>
        </w:rPr>
      </w:pPr>
    </w:p>
    <w:p w:rsidR="0081436D" w:rsidRDefault="00BD165F">
      <w:pPr>
        <w:pStyle w:val="1"/>
        <w:tabs>
          <w:tab w:val="clear" w:pos="0"/>
          <w:tab w:val="clear" w:pos="5246"/>
        </w:tabs>
        <w:spacing w:before="0" w:line="590" w:lineRule="exact"/>
        <w:ind w:left="0"/>
        <w:jc w:val="center"/>
        <w:rPr>
          <w:rFonts w:ascii="仿宋_GB2312" w:eastAsia="仿宋_GB2312" w:hAnsi="仿宋_GB2312"/>
          <w:sz w:val="32"/>
          <w:szCs w:val="32"/>
        </w:rPr>
      </w:pPr>
      <w:bookmarkStart w:id="46" w:name="_Toc19249"/>
      <w:bookmarkStart w:id="47" w:name="_Toc30544"/>
      <w:bookmarkStart w:id="48" w:name="_Toc5493"/>
      <w:bookmarkStart w:id="49" w:name="_Toc24839"/>
      <w:bookmarkStart w:id="50" w:name="_Toc10789"/>
      <w:bookmarkStart w:id="51" w:name="_Toc10229"/>
      <w:bookmarkStart w:id="52" w:name="_Toc11072"/>
      <w:bookmarkStart w:id="53" w:name="_Toc18536"/>
      <w:bookmarkStart w:id="54" w:name="_Toc8405"/>
      <w:bookmarkStart w:id="55" w:name="_Toc29760"/>
      <w:r>
        <w:rPr>
          <w:rFonts w:ascii="仿宋_GB2312" w:eastAsia="仿宋_GB2312" w:hAnsi="仿宋_GB2312"/>
          <w:sz w:val="32"/>
          <w:szCs w:val="32"/>
        </w:rPr>
        <w:t>释义</w:t>
      </w:r>
      <w:bookmarkEnd w:id="39"/>
      <w:bookmarkEnd w:id="46"/>
      <w:bookmarkEnd w:id="47"/>
      <w:bookmarkEnd w:id="48"/>
      <w:bookmarkEnd w:id="49"/>
      <w:bookmarkEnd w:id="50"/>
      <w:bookmarkEnd w:id="51"/>
      <w:bookmarkEnd w:id="52"/>
      <w:bookmarkEnd w:id="53"/>
      <w:bookmarkEnd w:id="54"/>
      <w:bookmarkEnd w:id="55"/>
    </w:p>
    <w:p w:rsidR="0081436D" w:rsidRDefault="00BD165F">
      <w:pPr>
        <w:pStyle w:val="12"/>
        <w:widowControl w:val="0"/>
        <w:spacing w:line="590" w:lineRule="exact"/>
        <w:ind w:firstLineChars="200" w:firstLine="640"/>
        <w:jc w:val="both"/>
        <w:rPr>
          <w:rFonts w:ascii="仿宋_GB2312" w:eastAsia="仿宋_GB2312" w:hAnsi="仿宋_GB2312"/>
          <w:sz w:val="32"/>
          <w:szCs w:val="32"/>
        </w:rPr>
      </w:pPr>
      <w:r>
        <w:rPr>
          <w:rFonts w:ascii="仿宋_GB2312" w:eastAsia="仿宋_GB2312" w:hAnsi="仿宋_GB2312"/>
          <w:sz w:val="32"/>
          <w:szCs w:val="32"/>
        </w:rPr>
        <w:t>在本协议中，除上下文另有规定外，下列用语应当具有如下含义：</w:t>
      </w:r>
    </w:p>
    <w:p w:rsidR="0081436D" w:rsidRDefault="00BD165F">
      <w:pPr>
        <w:widowControl w:val="0"/>
        <w:spacing w:line="590" w:lineRule="exact"/>
        <w:ind w:firstLineChars="200" w:firstLine="640"/>
        <w:jc w:val="both"/>
        <w:rPr>
          <w:rFonts w:ascii="仿宋_GB2312" w:eastAsia="仿宋_GB2312" w:hAnsi="仿宋_GB2312"/>
          <w:sz w:val="32"/>
          <w:szCs w:val="32"/>
        </w:rPr>
      </w:pPr>
      <w:bookmarkStart w:id="56" w:name="_Toc8468"/>
      <w:bookmarkStart w:id="57" w:name="_Toc30957"/>
      <w:r>
        <w:rPr>
          <w:rFonts w:ascii="仿宋_GB2312" w:eastAsia="仿宋_GB2312" w:hAnsi="仿宋_GB2312"/>
          <w:sz w:val="32"/>
          <w:szCs w:val="32"/>
        </w:rPr>
        <w:t>本协议：管理人与托管人签署的《光大理财理财产品</w:t>
      </w:r>
      <w:r>
        <w:rPr>
          <w:rFonts w:ascii="仿宋_GB2312" w:eastAsia="仿宋_GB2312" w:hAnsi="仿宋_GB2312"/>
          <w:sz w:val="32"/>
          <w:szCs w:val="32"/>
        </w:rPr>
        <w:lastRenderedPageBreak/>
        <w:t>托管协议》及其附件，以及双方对本协议及其附件</w:t>
      </w:r>
      <w:proofErr w:type="gramStart"/>
      <w:r>
        <w:rPr>
          <w:rFonts w:ascii="仿宋_GB2312" w:eastAsia="仿宋_GB2312" w:hAnsi="仿宋_GB2312"/>
          <w:sz w:val="32"/>
          <w:szCs w:val="32"/>
        </w:rPr>
        <w:t>作出</w:t>
      </w:r>
      <w:proofErr w:type="gramEnd"/>
      <w:r>
        <w:rPr>
          <w:rFonts w:ascii="仿宋_GB2312" w:eastAsia="仿宋_GB2312" w:hAnsi="仿宋_GB2312"/>
          <w:sz w:val="32"/>
          <w:szCs w:val="32"/>
        </w:rPr>
        <w:t>的任何有效修订和补充。</w:t>
      </w:r>
      <w:bookmarkEnd w:id="56"/>
      <w:bookmarkEnd w:id="57"/>
    </w:p>
    <w:p w:rsidR="0081436D" w:rsidRDefault="00BD165F">
      <w:pPr>
        <w:widowControl w:val="0"/>
        <w:spacing w:line="590" w:lineRule="exact"/>
        <w:ind w:firstLineChars="200" w:firstLine="640"/>
        <w:jc w:val="both"/>
        <w:rPr>
          <w:rFonts w:ascii="仿宋_GB2312" w:eastAsia="仿宋_GB2312" w:hAnsi="仿宋_GB2312"/>
          <w:sz w:val="32"/>
          <w:szCs w:val="32"/>
        </w:rPr>
      </w:pPr>
      <w:r>
        <w:rPr>
          <w:rFonts w:ascii="仿宋_GB2312" w:eastAsia="仿宋_GB2312" w:hAnsi="仿宋_GB2312"/>
          <w:sz w:val="32"/>
          <w:szCs w:val="32"/>
        </w:rPr>
        <w:t>理财产品：商业银行理财子公司按照约定条件和实际投资收益情况向投资者支付收益、不保证本金支付和收益水平的非保本理财产品。本协议项下指由本协议管理人发行并管理</w:t>
      </w:r>
      <w:proofErr w:type="gramStart"/>
      <w:r>
        <w:rPr>
          <w:rFonts w:ascii="仿宋_GB2312" w:eastAsia="仿宋_GB2312" w:hAnsi="仿宋_GB2312"/>
          <w:sz w:val="32"/>
          <w:szCs w:val="32"/>
        </w:rPr>
        <w:t>且委托</w:t>
      </w:r>
      <w:proofErr w:type="gramEnd"/>
      <w:r>
        <w:rPr>
          <w:rFonts w:ascii="仿宋_GB2312" w:eastAsia="仿宋_GB2312" w:hAnsi="仿宋_GB2312"/>
          <w:sz w:val="32"/>
          <w:szCs w:val="32"/>
        </w:rPr>
        <w:t>本协议托管人托管的理财产品。</w:t>
      </w:r>
    </w:p>
    <w:p w:rsidR="0081436D" w:rsidRDefault="00BD165F">
      <w:pPr>
        <w:widowControl w:val="0"/>
        <w:spacing w:line="590" w:lineRule="exact"/>
        <w:ind w:firstLineChars="200" w:firstLine="640"/>
        <w:jc w:val="both"/>
        <w:rPr>
          <w:rFonts w:ascii="仿宋_GB2312" w:eastAsia="仿宋_GB2312" w:hAnsi="仿宋_GB2312"/>
          <w:sz w:val="32"/>
          <w:szCs w:val="32"/>
        </w:rPr>
      </w:pPr>
      <w:bookmarkStart w:id="58" w:name="_Toc12485"/>
      <w:bookmarkStart w:id="59" w:name="_Toc5502"/>
      <w:r>
        <w:rPr>
          <w:rFonts w:ascii="仿宋_GB2312" w:eastAsia="仿宋_GB2312" w:hAnsi="仿宋_GB2312"/>
          <w:sz w:val="32"/>
          <w:szCs w:val="32"/>
        </w:rPr>
        <w:t>理财产品财产：理财产品设立后管理人管理的理财产品资金以及因该资金的管理、运用、处分或其他情形取得的财产的总和。</w:t>
      </w:r>
      <w:r>
        <w:rPr>
          <w:rFonts w:ascii="仿宋_GB2312" w:eastAsia="仿宋_GB2312" w:hAnsi="仿宋_GB2312"/>
          <w:sz w:val="32"/>
          <w:szCs w:val="32"/>
        </w:rPr>
        <w:br/>
        <w:t xml:space="preserve">    </w:t>
      </w:r>
      <w:r>
        <w:rPr>
          <w:rFonts w:ascii="仿宋_GB2312" w:eastAsia="仿宋_GB2312" w:hAnsi="仿宋_GB2312"/>
          <w:sz w:val="32"/>
          <w:szCs w:val="32"/>
        </w:rPr>
        <w:t>托管资产：管理人根据本协议委托并移交给托管人托管的理财产品财产。</w:t>
      </w:r>
      <w:bookmarkEnd w:id="58"/>
      <w:bookmarkEnd w:id="59"/>
    </w:p>
    <w:p w:rsidR="0081436D" w:rsidRDefault="00BD165F">
      <w:pPr>
        <w:widowControl w:val="0"/>
        <w:spacing w:line="590" w:lineRule="exact"/>
        <w:ind w:firstLineChars="200" w:firstLine="640"/>
        <w:jc w:val="both"/>
        <w:rPr>
          <w:rFonts w:ascii="仿宋_GB2312" w:eastAsia="仿宋_GB2312" w:hAnsi="仿宋_GB2312"/>
          <w:sz w:val="32"/>
          <w:szCs w:val="32"/>
        </w:rPr>
      </w:pPr>
      <w:bookmarkStart w:id="60" w:name="_Toc151"/>
      <w:bookmarkStart w:id="61" w:name="_Toc4170"/>
      <w:r>
        <w:rPr>
          <w:rFonts w:ascii="仿宋_GB2312" w:eastAsia="仿宋_GB2312" w:hAnsi="仿宋_GB2312"/>
          <w:sz w:val="32"/>
          <w:szCs w:val="32"/>
        </w:rPr>
        <w:t>资金清算账户：理财产品资金归集汇总账户，用于理财产品认购、申购、赎回、分红、到期兑付资金清算。</w:t>
      </w:r>
      <w:bookmarkEnd w:id="60"/>
      <w:bookmarkEnd w:id="61"/>
    </w:p>
    <w:p w:rsidR="0081436D" w:rsidRDefault="00BD165F">
      <w:pPr>
        <w:widowControl w:val="0"/>
        <w:spacing w:line="590" w:lineRule="exact"/>
        <w:ind w:firstLineChars="200" w:firstLine="640"/>
        <w:jc w:val="both"/>
        <w:rPr>
          <w:rFonts w:ascii="仿宋_GB2312" w:eastAsia="仿宋_GB2312" w:hAnsi="仿宋_GB2312"/>
          <w:sz w:val="32"/>
          <w:szCs w:val="32"/>
        </w:rPr>
      </w:pPr>
      <w:bookmarkStart w:id="62" w:name="_Toc27955"/>
      <w:bookmarkStart w:id="63" w:name="_Toc18169"/>
      <w:r>
        <w:rPr>
          <w:rFonts w:ascii="仿宋_GB2312" w:eastAsia="仿宋_GB2312" w:hAnsi="仿宋_GB2312"/>
          <w:sz w:val="32"/>
          <w:szCs w:val="32"/>
        </w:rPr>
        <w:t>资金托管账户：按相关法规规定，托管人在其</w:t>
      </w:r>
      <w:r>
        <w:rPr>
          <w:rFonts w:ascii="仿宋_GB2312" w:eastAsia="仿宋_GB2312" w:hAnsi="仿宋_GB2312"/>
          <w:sz w:val="32"/>
          <w:szCs w:val="32"/>
        </w:rPr>
        <w:t>营业机构为理财产品开设的用于保管理财产品财产的银行结算账户。</w:t>
      </w:r>
      <w:bookmarkEnd w:id="62"/>
      <w:bookmarkEnd w:id="63"/>
    </w:p>
    <w:p w:rsidR="0081436D" w:rsidRDefault="00BD165F">
      <w:pPr>
        <w:widowControl w:val="0"/>
        <w:spacing w:line="590" w:lineRule="exact"/>
        <w:ind w:firstLineChars="200" w:firstLine="640"/>
        <w:jc w:val="both"/>
        <w:rPr>
          <w:rFonts w:ascii="仿宋_GB2312" w:eastAsia="仿宋_GB2312" w:hAnsi="仿宋_GB2312"/>
          <w:sz w:val="32"/>
          <w:szCs w:val="32"/>
        </w:rPr>
      </w:pPr>
      <w:bookmarkStart w:id="64" w:name="_Toc30315"/>
      <w:bookmarkStart w:id="65" w:name="_Toc6462"/>
      <w:r>
        <w:rPr>
          <w:rFonts w:ascii="仿宋_GB2312" w:eastAsia="仿宋_GB2312" w:hAnsi="仿宋_GB2312"/>
          <w:sz w:val="32"/>
          <w:szCs w:val="32"/>
        </w:rPr>
        <w:t>理财产品发行文件：理财产品发行相关文件，包括但不限于理财产品说明书、相关协议等文件。</w:t>
      </w:r>
      <w:bookmarkEnd w:id="64"/>
      <w:bookmarkEnd w:id="65"/>
    </w:p>
    <w:p w:rsidR="0081436D" w:rsidRDefault="00BD165F">
      <w:pPr>
        <w:widowControl w:val="0"/>
        <w:spacing w:line="590" w:lineRule="exact"/>
        <w:ind w:firstLineChars="200" w:firstLine="640"/>
        <w:jc w:val="both"/>
        <w:rPr>
          <w:rFonts w:ascii="仿宋_GB2312" w:eastAsia="仿宋_GB2312" w:hAnsi="仿宋_GB2312"/>
          <w:sz w:val="32"/>
          <w:szCs w:val="32"/>
        </w:rPr>
      </w:pPr>
      <w:bookmarkStart w:id="66" w:name="_Toc30435"/>
      <w:bookmarkStart w:id="67" w:name="_Toc16474"/>
      <w:r>
        <w:rPr>
          <w:rFonts w:ascii="仿宋_GB2312" w:eastAsia="仿宋_GB2312" w:hAnsi="仿宋_GB2312"/>
          <w:sz w:val="32"/>
          <w:szCs w:val="32"/>
        </w:rPr>
        <w:t>期初资产：理财产品发行结束并正式成立时由资金清算账户划入资金托管账户的资金总额。</w:t>
      </w:r>
      <w:bookmarkEnd w:id="66"/>
      <w:bookmarkEnd w:id="67"/>
    </w:p>
    <w:p w:rsidR="0081436D" w:rsidRDefault="00BD165F">
      <w:pPr>
        <w:widowControl w:val="0"/>
        <w:spacing w:line="590" w:lineRule="exact"/>
        <w:ind w:firstLineChars="200" w:firstLine="640"/>
        <w:jc w:val="both"/>
        <w:rPr>
          <w:rFonts w:ascii="仿宋_GB2312" w:eastAsia="仿宋_GB2312" w:hAnsi="仿宋_GB2312"/>
          <w:sz w:val="32"/>
          <w:szCs w:val="32"/>
        </w:rPr>
      </w:pPr>
      <w:bookmarkStart w:id="68" w:name="_Toc8564"/>
      <w:bookmarkStart w:id="69" w:name="_Toc21127"/>
      <w:r>
        <w:rPr>
          <w:rFonts w:ascii="仿宋_GB2312" w:eastAsia="仿宋_GB2312" w:hAnsi="仿宋_GB2312"/>
          <w:sz w:val="32"/>
          <w:szCs w:val="32"/>
        </w:rPr>
        <w:t>期末资产：在理财产品到期日理财产品本金与因理财产品管理、运用所产生的各项收益</w:t>
      </w:r>
      <w:r>
        <w:rPr>
          <w:rFonts w:ascii="仿宋_GB2312" w:eastAsia="仿宋_GB2312" w:hAnsi="仿宋_GB2312"/>
          <w:sz w:val="32"/>
          <w:szCs w:val="32"/>
        </w:rPr>
        <w:t>/</w:t>
      </w:r>
      <w:r>
        <w:rPr>
          <w:rFonts w:ascii="仿宋_GB2312" w:eastAsia="仿宋_GB2312" w:hAnsi="仿宋_GB2312"/>
          <w:sz w:val="32"/>
          <w:szCs w:val="32"/>
        </w:rPr>
        <w:t>亏损的总和。</w:t>
      </w:r>
      <w:bookmarkEnd w:id="68"/>
      <w:bookmarkEnd w:id="69"/>
    </w:p>
    <w:p w:rsidR="0081436D" w:rsidRDefault="00BD165F">
      <w:pPr>
        <w:widowControl w:val="0"/>
        <w:spacing w:line="590" w:lineRule="exact"/>
        <w:ind w:firstLineChars="200" w:firstLine="640"/>
        <w:jc w:val="both"/>
        <w:rPr>
          <w:rFonts w:ascii="仿宋_GB2312" w:eastAsia="仿宋_GB2312" w:hAnsi="仿宋_GB2312"/>
          <w:sz w:val="32"/>
          <w:szCs w:val="32"/>
        </w:rPr>
      </w:pPr>
      <w:bookmarkStart w:id="70" w:name="_Toc32201"/>
      <w:bookmarkStart w:id="71" w:name="_Toc5210"/>
      <w:r>
        <w:rPr>
          <w:rFonts w:ascii="仿宋_GB2312" w:eastAsia="仿宋_GB2312" w:hAnsi="仿宋_GB2312"/>
          <w:sz w:val="32"/>
          <w:szCs w:val="32"/>
        </w:rPr>
        <w:t>不可抗力：本协议当事人不能预见、不能避免且不能</w:t>
      </w:r>
      <w:r>
        <w:rPr>
          <w:rFonts w:ascii="仿宋_GB2312" w:eastAsia="仿宋_GB2312" w:hAnsi="仿宋_GB2312"/>
          <w:sz w:val="32"/>
          <w:szCs w:val="32"/>
        </w:rPr>
        <w:lastRenderedPageBreak/>
        <w:t>克服，且在本</w:t>
      </w:r>
      <w:r>
        <w:rPr>
          <w:rFonts w:ascii="仿宋_GB2312" w:eastAsia="仿宋_GB2312" w:hAnsi="仿宋_GB2312" w:hint="eastAsia"/>
          <w:sz w:val="32"/>
          <w:szCs w:val="32"/>
        </w:rPr>
        <w:t>协议</w:t>
      </w:r>
      <w:r>
        <w:rPr>
          <w:rFonts w:ascii="仿宋_GB2312" w:eastAsia="仿宋_GB2312" w:hAnsi="仿宋_GB2312"/>
          <w:sz w:val="32"/>
          <w:szCs w:val="32"/>
        </w:rPr>
        <w:t>由</w:t>
      </w:r>
      <w:r>
        <w:rPr>
          <w:rFonts w:ascii="仿宋_GB2312" w:eastAsia="仿宋_GB2312" w:hAnsi="仿宋_GB2312" w:hint="eastAsia"/>
          <w:sz w:val="32"/>
          <w:szCs w:val="32"/>
        </w:rPr>
        <w:t>当事人</w:t>
      </w:r>
      <w:r>
        <w:rPr>
          <w:rFonts w:ascii="仿宋_GB2312" w:eastAsia="仿宋_GB2312" w:hAnsi="仿宋_GB2312"/>
          <w:sz w:val="32"/>
          <w:szCs w:val="32"/>
        </w:rPr>
        <w:t>签署之日后发生的，使本</w:t>
      </w:r>
      <w:r>
        <w:rPr>
          <w:rFonts w:ascii="仿宋_GB2312" w:eastAsia="仿宋_GB2312" w:hAnsi="仿宋_GB2312" w:hint="eastAsia"/>
          <w:sz w:val="32"/>
          <w:szCs w:val="32"/>
        </w:rPr>
        <w:t>协议</w:t>
      </w:r>
      <w:r>
        <w:rPr>
          <w:rFonts w:ascii="仿宋_GB2312" w:eastAsia="仿宋_GB2312" w:hAnsi="仿宋_GB2312"/>
          <w:sz w:val="32"/>
          <w:szCs w:val="32"/>
        </w:rPr>
        <w:t>当事人无法全部履行或无法部分履行本</w:t>
      </w:r>
      <w:r>
        <w:rPr>
          <w:rFonts w:ascii="仿宋_GB2312" w:eastAsia="仿宋_GB2312" w:hAnsi="仿宋_GB2312" w:hint="eastAsia"/>
          <w:sz w:val="32"/>
          <w:szCs w:val="32"/>
        </w:rPr>
        <w:t>协议</w:t>
      </w:r>
      <w:r>
        <w:rPr>
          <w:rFonts w:ascii="仿宋_GB2312" w:eastAsia="仿宋_GB2312" w:hAnsi="仿宋_GB2312"/>
          <w:sz w:val="32"/>
          <w:szCs w:val="32"/>
        </w:rPr>
        <w:t>的任何事件和因素，包括但不限于洪水、地震及其他自然灾害、</w:t>
      </w:r>
      <w:r>
        <w:rPr>
          <w:rFonts w:ascii="仿宋_GB2312" w:eastAsia="仿宋_GB2312" w:hAnsi="仿宋_GB2312"/>
          <w:sz w:val="32"/>
          <w:szCs w:val="32"/>
        </w:rPr>
        <w:t>战争、骚乱、火灾、政府征用、没收、恐怖袭击、传染病传播、法律法规变化、系统故障、突发停电或其他突发事件、证券交易所或证券登记结算机构非正常暂停或停止交易或发送数据存在延误、错漏等</w:t>
      </w:r>
      <w:bookmarkEnd w:id="70"/>
      <w:bookmarkEnd w:id="71"/>
      <w:r>
        <w:rPr>
          <w:rFonts w:ascii="仿宋_GB2312" w:eastAsia="仿宋_GB2312" w:hAnsi="仿宋_GB2312"/>
          <w:sz w:val="32"/>
          <w:szCs w:val="32"/>
        </w:rPr>
        <w:t>。</w:t>
      </w:r>
    </w:p>
    <w:p w:rsidR="0081436D" w:rsidRDefault="00BD165F">
      <w:pPr>
        <w:widowControl w:val="0"/>
        <w:spacing w:line="590" w:lineRule="exact"/>
        <w:ind w:firstLineChars="200" w:firstLine="640"/>
        <w:jc w:val="both"/>
        <w:rPr>
          <w:rFonts w:ascii="仿宋_GB2312" w:eastAsia="仿宋_GB2312" w:hAnsi="仿宋_GB2312"/>
          <w:sz w:val="32"/>
          <w:szCs w:val="32"/>
        </w:rPr>
      </w:pPr>
      <w:r>
        <w:rPr>
          <w:rFonts w:ascii="仿宋_GB2312" w:eastAsia="仿宋_GB2312" w:hAnsi="仿宋_GB2312" w:hint="eastAsia"/>
          <w:sz w:val="32"/>
          <w:szCs w:val="32"/>
        </w:rPr>
        <w:t>安全：在本协议项下，“安全”是指管理人和托管人不挪用、不侵占托管资产；不具有管理人或托管人保证理财资产不受损失或者取得最低收益的含义。对本协议附件或者补充协议中其他相关约定的理解均以此为准。</w:t>
      </w:r>
    </w:p>
    <w:p w:rsidR="0081436D" w:rsidRDefault="0081436D">
      <w:pPr>
        <w:widowControl w:val="0"/>
        <w:spacing w:line="590" w:lineRule="exact"/>
        <w:ind w:firstLineChars="200" w:firstLine="640"/>
        <w:jc w:val="both"/>
        <w:rPr>
          <w:rFonts w:ascii="仿宋_GB2312" w:eastAsia="仿宋_GB2312" w:hAnsi="仿宋_GB2312"/>
          <w:sz w:val="32"/>
          <w:szCs w:val="32"/>
        </w:rPr>
      </w:pPr>
    </w:p>
    <w:p w:rsidR="0081436D" w:rsidRDefault="00BD165F">
      <w:pPr>
        <w:pStyle w:val="1"/>
        <w:tabs>
          <w:tab w:val="clear" w:pos="0"/>
          <w:tab w:val="clear" w:pos="5246"/>
        </w:tabs>
        <w:spacing w:before="0" w:line="590" w:lineRule="exact"/>
        <w:ind w:left="0"/>
        <w:jc w:val="center"/>
        <w:rPr>
          <w:rFonts w:ascii="仿宋_GB2312" w:eastAsia="仿宋_GB2312" w:hAnsi="仿宋_GB2312"/>
          <w:sz w:val="32"/>
          <w:szCs w:val="32"/>
        </w:rPr>
      </w:pPr>
      <w:bookmarkStart w:id="72" w:name="_Toc7027"/>
      <w:bookmarkStart w:id="73" w:name="_Toc1497"/>
      <w:bookmarkStart w:id="74" w:name="_Toc18968"/>
      <w:bookmarkStart w:id="75" w:name="_Toc14026"/>
      <w:bookmarkStart w:id="76" w:name="_Toc8419"/>
      <w:bookmarkStart w:id="77" w:name="_Toc14695"/>
      <w:bookmarkStart w:id="78" w:name="_Toc7863"/>
      <w:bookmarkStart w:id="79" w:name="_Toc28897"/>
      <w:bookmarkStart w:id="80" w:name="_Toc21345"/>
      <w:bookmarkStart w:id="81" w:name="_Toc21616"/>
      <w:r>
        <w:rPr>
          <w:rFonts w:ascii="仿宋_GB2312" w:eastAsia="仿宋_GB2312" w:hAnsi="仿宋_GB2312"/>
          <w:sz w:val="32"/>
          <w:szCs w:val="32"/>
        </w:rPr>
        <w:t>当事人权利与义务</w:t>
      </w:r>
      <w:bookmarkEnd w:id="72"/>
      <w:bookmarkEnd w:id="73"/>
      <w:bookmarkEnd w:id="74"/>
      <w:bookmarkEnd w:id="75"/>
      <w:bookmarkEnd w:id="76"/>
      <w:bookmarkEnd w:id="77"/>
      <w:bookmarkEnd w:id="78"/>
      <w:bookmarkEnd w:id="79"/>
      <w:bookmarkEnd w:id="80"/>
      <w:bookmarkEnd w:id="81"/>
    </w:p>
    <w:bookmarkEnd w:id="40"/>
    <w:bookmarkEnd w:id="41"/>
    <w:bookmarkEnd w:id="42"/>
    <w:bookmarkEnd w:id="43"/>
    <w:bookmarkEnd w:id="44"/>
    <w:p w:rsidR="0081436D" w:rsidRDefault="00BD165F" w:rsidP="005D01BD">
      <w:pPr>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spacing w:val="6"/>
          <w:sz w:val="32"/>
          <w:szCs w:val="32"/>
        </w:rPr>
        <w:t>（一）管理人的权利与义务</w:t>
      </w:r>
    </w:p>
    <w:p w:rsidR="0081436D" w:rsidRDefault="00BD165F" w:rsidP="005D01BD">
      <w:pPr>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spacing w:val="6"/>
          <w:sz w:val="32"/>
          <w:szCs w:val="32"/>
        </w:rPr>
        <w:t>1.</w:t>
      </w:r>
      <w:r>
        <w:rPr>
          <w:rFonts w:ascii="仿宋_GB2312" w:eastAsia="仿宋_GB2312" w:hAnsi="仿宋_GB2312" w:cs="仿宋_GB2312"/>
          <w:spacing w:val="6"/>
          <w:sz w:val="32"/>
          <w:szCs w:val="32"/>
        </w:rPr>
        <w:t>管理人的权利</w:t>
      </w:r>
    </w:p>
    <w:p w:rsidR="0081436D" w:rsidRDefault="00BD165F" w:rsidP="005D01BD">
      <w:pPr>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spacing w:val="6"/>
          <w:sz w:val="32"/>
          <w:szCs w:val="32"/>
        </w:rPr>
        <w:t>根据相关法律法规等规定，理财产品管理人的权利包括但不限于：</w:t>
      </w:r>
    </w:p>
    <w:p w:rsidR="0081436D" w:rsidRDefault="00BD165F" w:rsidP="005D01BD">
      <w:pPr>
        <w:widowControl w:val="0"/>
        <w:numPr>
          <w:ilvl w:val="0"/>
          <w:numId w:val="2"/>
        </w:numPr>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spacing w:val="6"/>
          <w:sz w:val="32"/>
          <w:szCs w:val="32"/>
        </w:rPr>
        <w:t>依法募集资金；</w:t>
      </w:r>
    </w:p>
    <w:p w:rsidR="0081436D" w:rsidRDefault="00BD165F" w:rsidP="005D01BD">
      <w:pPr>
        <w:widowControl w:val="0"/>
        <w:numPr>
          <w:ilvl w:val="0"/>
          <w:numId w:val="2"/>
        </w:numPr>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spacing w:val="6"/>
          <w:sz w:val="32"/>
          <w:szCs w:val="32"/>
        </w:rPr>
        <w:t>按照理财产品发行文件的约定，管理和运用理财产品财产；</w:t>
      </w:r>
    </w:p>
    <w:p w:rsidR="0081436D" w:rsidRDefault="00BD165F" w:rsidP="005D01BD">
      <w:pPr>
        <w:widowControl w:val="0"/>
        <w:numPr>
          <w:ilvl w:val="0"/>
          <w:numId w:val="2"/>
        </w:numPr>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spacing w:val="6"/>
          <w:sz w:val="32"/>
          <w:szCs w:val="32"/>
        </w:rPr>
        <w:t>按照理财产品发行文件的约定，确定收益分配方案，及时向投资者分配收益；</w:t>
      </w:r>
    </w:p>
    <w:p w:rsidR="0081436D" w:rsidRDefault="00BD165F" w:rsidP="005D01BD">
      <w:pPr>
        <w:widowControl w:val="0"/>
        <w:numPr>
          <w:ilvl w:val="0"/>
          <w:numId w:val="2"/>
        </w:numPr>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spacing w:val="6"/>
          <w:sz w:val="32"/>
          <w:szCs w:val="32"/>
        </w:rPr>
        <w:t>以管理人名义，代表投资者利益行使诉讼权利</w:t>
      </w:r>
      <w:r>
        <w:rPr>
          <w:rFonts w:ascii="仿宋_GB2312" w:eastAsia="仿宋_GB2312" w:hAnsi="仿宋_GB2312" w:cs="仿宋_GB2312"/>
          <w:spacing w:val="6"/>
          <w:sz w:val="32"/>
          <w:szCs w:val="32"/>
        </w:rPr>
        <w:lastRenderedPageBreak/>
        <w:t>或者实施其他法律行为；</w:t>
      </w:r>
    </w:p>
    <w:p w:rsidR="0081436D" w:rsidRDefault="00BD165F" w:rsidP="005D01BD">
      <w:pPr>
        <w:widowControl w:val="0"/>
        <w:numPr>
          <w:ilvl w:val="0"/>
          <w:numId w:val="2"/>
        </w:numPr>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spacing w:val="6"/>
          <w:sz w:val="32"/>
          <w:szCs w:val="32"/>
        </w:rPr>
        <w:t>按照理财产品发行文件的约定，及时、足额获得管理人报酬；</w:t>
      </w:r>
    </w:p>
    <w:p w:rsidR="0081436D" w:rsidRDefault="00BD165F" w:rsidP="005D01BD">
      <w:pPr>
        <w:widowControl w:val="0"/>
        <w:numPr>
          <w:ilvl w:val="0"/>
          <w:numId w:val="2"/>
        </w:numPr>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spacing w:val="6"/>
          <w:sz w:val="32"/>
          <w:szCs w:val="32"/>
        </w:rPr>
        <w:t>国家有关法律法规、监管机构规定的其他权利。</w:t>
      </w:r>
    </w:p>
    <w:p w:rsidR="0081436D" w:rsidRDefault="00BD165F" w:rsidP="005D01BD">
      <w:pPr>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spacing w:val="6"/>
          <w:sz w:val="32"/>
          <w:szCs w:val="32"/>
        </w:rPr>
        <w:t>2.</w:t>
      </w:r>
      <w:r>
        <w:rPr>
          <w:rFonts w:ascii="仿宋_GB2312" w:eastAsia="仿宋_GB2312" w:hAnsi="仿宋_GB2312" w:cs="仿宋_GB2312"/>
          <w:spacing w:val="6"/>
          <w:sz w:val="32"/>
          <w:szCs w:val="32"/>
        </w:rPr>
        <w:t>管理人的义务</w:t>
      </w:r>
    </w:p>
    <w:p w:rsidR="0081436D" w:rsidRDefault="00BD165F" w:rsidP="005D01BD">
      <w:pPr>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spacing w:val="6"/>
          <w:sz w:val="32"/>
          <w:szCs w:val="32"/>
        </w:rPr>
        <w:t>根据相关法律法规等规定，理财产品管理人的义务包括但不限于：</w:t>
      </w:r>
    </w:p>
    <w:p w:rsidR="0081436D" w:rsidRDefault="00BD165F" w:rsidP="005D01BD">
      <w:pPr>
        <w:widowControl w:val="0"/>
        <w:numPr>
          <w:ilvl w:val="0"/>
          <w:numId w:val="3"/>
        </w:numPr>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spacing w:val="6"/>
          <w:sz w:val="32"/>
          <w:szCs w:val="32"/>
        </w:rPr>
        <w:t>依法募集资金，办理或者委托经监管机构认定的其他机构代为办理理财产品份额的发售和登记事宜；</w:t>
      </w:r>
    </w:p>
    <w:p w:rsidR="0081436D" w:rsidRDefault="00BD165F" w:rsidP="005D01BD">
      <w:pPr>
        <w:widowControl w:val="0"/>
        <w:numPr>
          <w:ilvl w:val="0"/>
          <w:numId w:val="3"/>
        </w:numPr>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spacing w:val="6"/>
          <w:sz w:val="32"/>
          <w:szCs w:val="32"/>
        </w:rPr>
        <w:t>办理理财产品登记备案或者注册手续；</w:t>
      </w:r>
    </w:p>
    <w:p w:rsidR="0081436D" w:rsidRDefault="00BD165F" w:rsidP="005D01BD">
      <w:pPr>
        <w:widowControl w:val="0"/>
        <w:numPr>
          <w:ilvl w:val="0"/>
          <w:numId w:val="3"/>
        </w:numPr>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spacing w:val="6"/>
          <w:sz w:val="32"/>
          <w:szCs w:val="32"/>
        </w:rPr>
        <w:t>对所管理的不同理财产品单独管理、单独建账、单独核算；</w:t>
      </w:r>
    </w:p>
    <w:p w:rsidR="0081436D" w:rsidRDefault="00BD165F" w:rsidP="005D01BD">
      <w:pPr>
        <w:widowControl w:val="0"/>
        <w:numPr>
          <w:ilvl w:val="0"/>
          <w:numId w:val="3"/>
        </w:numPr>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spacing w:val="6"/>
          <w:sz w:val="32"/>
          <w:szCs w:val="32"/>
        </w:rPr>
        <w:t>进行理财产品会计核算并编制理财产品财务会计报告；</w:t>
      </w:r>
    </w:p>
    <w:p w:rsidR="0081436D" w:rsidRDefault="00BD165F" w:rsidP="005D01BD">
      <w:pPr>
        <w:widowControl w:val="0"/>
        <w:numPr>
          <w:ilvl w:val="0"/>
          <w:numId w:val="3"/>
        </w:numPr>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spacing w:val="6"/>
          <w:sz w:val="32"/>
          <w:szCs w:val="32"/>
        </w:rPr>
        <w:t>依法计算并披露理财产品净值或者投资收益情况，确定认</w:t>
      </w:r>
      <w:r>
        <w:rPr>
          <w:rFonts w:ascii="仿宋_GB2312" w:eastAsia="仿宋_GB2312" w:hAnsi="仿宋_GB2312" w:cs="仿宋_GB2312"/>
          <w:spacing w:val="6"/>
          <w:sz w:val="32"/>
          <w:szCs w:val="32"/>
        </w:rPr>
        <w:t>/</w:t>
      </w:r>
      <w:r>
        <w:rPr>
          <w:rFonts w:ascii="仿宋_GB2312" w:eastAsia="仿宋_GB2312" w:hAnsi="仿宋_GB2312" w:cs="仿宋_GB2312"/>
          <w:spacing w:val="6"/>
          <w:sz w:val="32"/>
          <w:szCs w:val="32"/>
        </w:rPr>
        <w:t>申购、赎回价格；</w:t>
      </w:r>
    </w:p>
    <w:p w:rsidR="0081436D" w:rsidRDefault="00BD165F" w:rsidP="005D01BD">
      <w:pPr>
        <w:widowControl w:val="0"/>
        <w:numPr>
          <w:ilvl w:val="0"/>
          <w:numId w:val="3"/>
        </w:numPr>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spacing w:val="6"/>
          <w:sz w:val="32"/>
          <w:szCs w:val="32"/>
        </w:rPr>
        <w:t>办理与理财产品管理业务活动有关的信息披露事项；</w:t>
      </w:r>
    </w:p>
    <w:p w:rsidR="0081436D" w:rsidRDefault="00BD165F" w:rsidP="005D01BD">
      <w:pPr>
        <w:pStyle w:val="afe"/>
        <w:widowControl w:val="0"/>
        <w:numPr>
          <w:ilvl w:val="0"/>
          <w:numId w:val="3"/>
        </w:numPr>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spacing w:val="6"/>
          <w:sz w:val="32"/>
          <w:szCs w:val="32"/>
        </w:rPr>
        <w:t>保存理财产品管理业务活动的记录、账册、报表和其他相关资料</w:t>
      </w:r>
      <w:r>
        <w:rPr>
          <w:rFonts w:ascii="仿宋_GB2312" w:eastAsia="仿宋_GB2312" w:hAnsi="仿宋_GB2312" w:cs="仿宋_GB2312"/>
          <w:spacing w:val="6"/>
          <w:sz w:val="32"/>
          <w:szCs w:val="32"/>
        </w:rPr>
        <w:t>15</w:t>
      </w:r>
      <w:r>
        <w:rPr>
          <w:rFonts w:ascii="仿宋_GB2312" w:eastAsia="仿宋_GB2312" w:hAnsi="仿宋_GB2312" w:cs="仿宋_GB2312"/>
          <w:spacing w:val="6"/>
          <w:sz w:val="32"/>
          <w:szCs w:val="32"/>
        </w:rPr>
        <w:t>年以上；</w:t>
      </w:r>
      <w:r>
        <w:rPr>
          <w:rFonts w:ascii="仿宋_GB2312" w:eastAsia="仿宋_GB2312" w:hAnsi="仿宋_GB2312" w:cs="仿宋_GB2312"/>
          <w:spacing w:val="6"/>
          <w:sz w:val="32"/>
          <w:szCs w:val="32"/>
        </w:rPr>
        <w:t xml:space="preserve"> </w:t>
      </w:r>
    </w:p>
    <w:p w:rsidR="0081436D" w:rsidRDefault="00BD165F" w:rsidP="005D01BD">
      <w:pPr>
        <w:pStyle w:val="afe"/>
        <w:widowControl w:val="0"/>
        <w:numPr>
          <w:ilvl w:val="0"/>
          <w:numId w:val="3"/>
        </w:numPr>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依法接受托管人的监督；</w:t>
      </w:r>
    </w:p>
    <w:p w:rsidR="0081436D" w:rsidRDefault="00BD165F" w:rsidP="005D01BD">
      <w:pPr>
        <w:pStyle w:val="afe"/>
        <w:widowControl w:val="0"/>
        <w:numPr>
          <w:ilvl w:val="0"/>
          <w:numId w:val="3"/>
        </w:numPr>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保证提供给托管人的一切文件资料均为真实、完整、准确、合法、有效，没有任何重大遗漏或误导；</w:t>
      </w:r>
    </w:p>
    <w:p w:rsidR="0081436D" w:rsidRDefault="00BD165F" w:rsidP="005D01BD">
      <w:pPr>
        <w:pStyle w:val="afe"/>
        <w:widowControl w:val="0"/>
        <w:numPr>
          <w:ilvl w:val="0"/>
          <w:numId w:val="3"/>
        </w:numPr>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lastRenderedPageBreak/>
        <w:t>作为产品主会计方，与托管人进行账务核对；</w:t>
      </w:r>
    </w:p>
    <w:p w:rsidR="0081436D" w:rsidRDefault="00BD165F" w:rsidP="005D01BD">
      <w:pPr>
        <w:widowControl w:val="0"/>
        <w:numPr>
          <w:ilvl w:val="0"/>
          <w:numId w:val="3"/>
        </w:numPr>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spacing w:val="6"/>
          <w:sz w:val="32"/>
          <w:szCs w:val="32"/>
        </w:rPr>
        <w:t>按照金融机构反洗钱相关规定履行反洗钱义务，建立反洗钱内控制度，</w:t>
      </w:r>
      <w:r>
        <w:rPr>
          <w:rFonts w:ascii="仿宋_GB2312" w:eastAsia="仿宋_GB2312" w:hAnsi="仿宋_GB2312" w:cs="仿宋_GB2312"/>
          <w:spacing w:val="6"/>
          <w:sz w:val="32"/>
          <w:szCs w:val="32"/>
        </w:rPr>
        <w:t>落实客户身份识别、客户身份资料和交易记录保存、大额交易和可疑交易报告等反洗钱义务；</w:t>
      </w:r>
    </w:p>
    <w:p w:rsidR="0081436D" w:rsidRDefault="00BD165F" w:rsidP="005D01BD">
      <w:pPr>
        <w:widowControl w:val="0"/>
        <w:numPr>
          <w:ilvl w:val="0"/>
          <w:numId w:val="3"/>
        </w:numPr>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spacing w:val="6"/>
          <w:sz w:val="32"/>
          <w:szCs w:val="32"/>
        </w:rPr>
        <w:t>在法律法规允许范围内，配合托管人开展反洗钱工作，提供客户身份识别、受益所有人识别等必要资料；</w:t>
      </w:r>
    </w:p>
    <w:p w:rsidR="0081436D" w:rsidRDefault="00BD165F" w:rsidP="005D01BD">
      <w:pPr>
        <w:widowControl w:val="0"/>
        <w:numPr>
          <w:ilvl w:val="0"/>
          <w:numId w:val="3"/>
        </w:numPr>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spacing w:val="6"/>
          <w:sz w:val="32"/>
          <w:szCs w:val="32"/>
        </w:rPr>
        <w:t>国家有关法律法规、监管机构规定的</w:t>
      </w:r>
      <w:bookmarkStart w:id="82" w:name="OLE_LINK9"/>
      <w:r>
        <w:rPr>
          <w:rFonts w:ascii="仿宋_GB2312" w:eastAsia="仿宋_GB2312" w:hAnsi="仿宋_GB2312" w:cs="仿宋_GB2312"/>
          <w:spacing w:val="6"/>
          <w:sz w:val="32"/>
          <w:szCs w:val="32"/>
        </w:rPr>
        <w:t>其他</w:t>
      </w:r>
      <w:bookmarkEnd w:id="82"/>
      <w:r>
        <w:rPr>
          <w:rFonts w:ascii="仿宋_GB2312" w:eastAsia="仿宋_GB2312" w:hAnsi="仿宋_GB2312" w:cs="仿宋_GB2312"/>
          <w:spacing w:val="6"/>
          <w:sz w:val="32"/>
          <w:szCs w:val="32"/>
        </w:rPr>
        <w:t>义务。</w:t>
      </w:r>
    </w:p>
    <w:p w:rsidR="0081436D" w:rsidRDefault="00BD165F">
      <w:pPr>
        <w:widowControl w:val="0"/>
        <w:tabs>
          <w:tab w:val="left" w:pos="0"/>
        </w:tabs>
        <w:spacing w:line="590" w:lineRule="exact"/>
        <w:ind w:firstLineChars="200" w:firstLine="640"/>
        <w:jc w:val="both"/>
        <w:rPr>
          <w:rFonts w:ascii="仿宋_GB2312" w:eastAsia="仿宋_GB2312" w:hAnsi="仿宋_GB2312" w:cs="仿宋_GB2312"/>
          <w:sz w:val="32"/>
          <w:szCs w:val="32"/>
        </w:rPr>
      </w:pPr>
      <w:bookmarkStart w:id="83" w:name="_Toc4836"/>
      <w:bookmarkStart w:id="84" w:name="_Toc2398"/>
      <w:bookmarkStart w:id="85" w:name="_Toc425952821"/>
      <w:r>
        <w:rPr>
          <w:rFonts w:ascii="仿宋_GB2312" w:eastAsia="仿宋_GB2312" w:hAnsi="仿宋_GB2312" w:cs="仿宋_GB2312"/>
          <w:sz w:val="32"/>
          <w:szCs w:val="32"/>
        </w:rPr>
        <w:t>（二）托管人的权利与义务</w:t>
      </w:r>
      <w:bookmarkEnd w:id="83"/>
      <w:bookmarkEnd w:id="84"/>
      <w:bookmarkEnd w:id="85"/>
    </w:p>
    <w:p w:rsidR="0081436D" w:rsidRDefault="00BD165F" w:rsidP="005D01BD">
      <w:pPr>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spacing w:val="6"/>
          <w:sz w:val="32"/>
          <w:szCs w:val="32"/>
        </w:rPr>
        <w:t>1.</w:t>
      </w:r>
      <w:r>
        <w:rPr>
          <w:rFonts w:ascii="仿宋_GB2312" w:eastAsia="仿宋_GB2312" w:hAnsi="仿宋_GB2312" w:cs="仿宋_GB2312"/>
          <w:spacing w:val="6"/>
          <w:sz w:val="32"/>
          <w:szCs w:val="32"/>
        </w:rPr>
        <w:t>托管人的权利</w:t>
      </w:r>
    </w:p>
    <w:p w:rsidR="0081436D" w:rsidRDefault="00BD165F" w:rsidP="005D01BD">
      <w:pPr>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spacing w:val="6"/>
          <w:sz w:val="32"/>
          <w:szCs w:val="32"/>
        </w:rPr>
        <w:t>根据相关法律法规等规定，理财产品托管人的权利包括但不限于：</w:t>
      </w:r>
    </w:p>
    <w:p w:rsidR="0081436D" w:rsidRDefault="00BD165F" w:rsidP="005D01BD">
      <w:pPr>
        <w:pStyle w:val="af"/>
        <w:widowControl w:val="0"/>
        <w:numPr>
          <w:ilvl w:val="0"/>
          <w:numId w:val="4"/>
        </w:numPr>
        <w:spacing w:before="0" w:beforeAutospacing="0" w:after="0" w:afterAutospacing="0"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spacing w:val="6"/>
          <w:sz w:val="32"/>
          <w:szCs w:val="32"/>
        </w:rPr>
        <w:t>按照法律法规的规定保管理财产品财产；</w:t>
      </w:r>
    </w:p>
    <w:p w:rsidR="0081436D" w:rsidRDefault="00BD165F" w:rsidP="005D01BD">
      <w:pPr>
        <w:pStyle w:val="af"/>
        <w:widowControl w:val="0"/>
        <w:numPr>
          <w:ilvl w:val="0"/>
          <w:numId w:val="4"/>
        </w:numPr>
        <w:spacing w:before="0" w:beforeAutospacing="0" w:after="0" w:afterAutospacing="0"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spacing w:val="6"/>
          <w:sz w:val="32"/>
          <w:szCs w:val="32"/>
        </w:rPr>
        <w:t>按照本协议的约定，及时、足额收取托管费；</w:t>
      </w:r>
    </w:p>
    <w:p w:rsidR="0081436D" w:rsidRDefault="00BD165F" w:rsidP="005D01BD">
      <w:pPr>
        <w:pStyle w:val="af"/>
        <w:widowControl w:val="0"/>
        <w:numPr>
          <w:ilvl w:val="0"/>
          <w:numId w:val="4"/>
        </w:numPr>
        <w:spacing w:before="0" w:beforeAutospacing="0" w:after="0" w:afterAutospacing="0"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spacing w:val="6"/>
          <w:sz w:val="32"/>
          <w:szCs w:val="32"/>
        </w:rPr>
        <w:t>监督理财产品投资运作，发现理财产品违反法律、行政法规、规章规定或合同约定进行投资的，及时通知管理人并有权向</w:t>
      </w:r>
      <w:r>
        <w:rPr>
          <w:rStyle w:val="af4"/>
          <w:rFonts w:ascii="仿宋_GB2312" w:eastAsia="仿宋_GB2312" w:hAnsi="仿宋_GB2312" w:cs="仿宋_GB2312"/>
          <w:b w:val="0"/>
          <w:spacing w:val="6"/>
          <w:sz w:val="32"/>
          <w:szCs w:val="32"/>
        </w:rPr>
        <w:t>国家金融监督管理总局</w:t>
      </w:r>
      <w:r>
        <w:rPr>
          <w:rFonts w:ascii="仿宋_GB2312" w:eastAsia="仿宋_GB2312" w:hAnsi="仿宋_GB2312" w:cs="仿宋_GB2312"/>
          <w:spacing w:val="6"/>
          <w:sz w:val="32"/>
          <w:szCs w:val="32"/>
        </w:rPr>
        <w:t>报告；</w:t>
      </w:r>
    </w:p>
    <w:p w:rsidR="0081436D" w:rsidRDefault="00BD165F" w:rsidP="005D01BD">
      <w:pPr>
        <w:pStyle w:val="af"/>
        <w:widowControl w:val="0"/>
        <w:numPr>
          <w:ilvl w:val="0"/>
          <w:numId w:val="4"/>
        </w:numPr>
        <w:spacing w:before="0" w:beforeAutospacing="0" w:after="0" w:afterAutospacing="0"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spacing w:val="6"/>
          <w:sz w:val="32"/>
          <w:szCs w:val="32"/>
        </w:rPr>
        <w:t>国家有关法律法规、监管机构规定的其他权利。</w:t>
      </w:r>
    </w:p>
    <w:p w:rsidR="0081436D" w:rsidRDefault="00BD165F" w:rsidP="005D01BD">
      <w:pPr>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spacing w:val="6"/>
          <w:sz w:val="32"/>
          <w:szCs w:val="32"/>
        </w:rPr>
        <w:t>2.</w:t>
      </w:r>
      <w:r>
        <w:rPr>
          <w:rFonts w:ascii="仿宋_GB2312" w:eastAsia="仿宋_GB2312" w:hAnsi="仿宋_GB2312" w:cs="仿宋_GB2312"/>
          <w:spacing w:val="6"/>
          <w:sz w:val="32"/>
          <w:szCs w:val="32"/>
        </w:rPr>
        <w:t>托管人的义务</w:t>
      </w:r>
    </w:p>
    <w:p w:rsidR="0081436D" w:rsidRDefault="00BD165F" w:rsidP="005D01BD">
      <w:pPr>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spacing w:val="6"/>
          <w:sz w:val="32"/>
          <w:szCs w:val="32"/>
        </w:rPr>
        <w:t>根据相关法律法规等规定，理财产品托管人的义务包括但不限于：</w:t>
      </w:r>
    </w:p>
    <w:p w:rsidR="0081436D" w:rsidRDefault="00BD165F" w:rsidP="005D01BD">
      <w:pPr>
        <w:widowControl w:val="0"/>
        <w:numPr>
          <w:ilvl w:val="0"/>
          <w:numId w:val="5"/>
        </w:numPr>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根据本协议的约定，安全保管理财产品财产；</w:t>
      </w:r>
    </w:p>
    <w:p w:rsidR="0081436D" w:rsidRDefault="00BD165F" w:rsidP="005D01BD">
      <w:pPr>
        <w:widowControl w:val="0"/>
        <w:numPr>
          <w:ilvl w:val="0"/>
          <w:numId w:val="5"/>
        </w:numPr>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根据本协议的约定为每只、每期理财产品开设独立的资金托管账户，不同资金托管账户中的资产应当相</w:t>
      </w:r>
      <w:r>
        <w:rPr>
          <w:rFonts w:ascii="仿宋_GB2312" w:eastAsia="仿宋_GB2312" w:hAnsi="仿宋_GB2312" w:cs="仿宋_GB2312" w:hint="eastAsia"/>
          <w:spacing w:val="6"/>
          <w:sz w:val="32"/>
          <w:szCs w:val="32"/>
        </w:rPr>
        <w:lastRenderedPageBreak/>
        <w:t>互独立；</w:t>
      </w:r>
    </w:p>
    <w:p w:rsidR="0081436D" w:rsidRDefault="00BD165F" w:rsidP="005D01BD">
      <w:pPr>
        <w:widowControl w:val="0"/>
        <w:numPr>
          <w:ilvl w:val="0"/>
          <w:numId w:val="5"/>
        </w:numPr>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spacing w:val="6"/>
          <w:sz w:val="32"/>
          <w:szCs w:val="32"/>
        </w:rPr>
        <w:t>按照本协议的约定和管理人的指令，及时办理清算、交割事宜；</w:t>
      </w:r>
    </w:p>
    <w:p w:rsidR="0081436D" w:rsidRDefault="00BD165F" w:rsidP="005D01BD">
      <w:pPr>
        <w:widowControl w:val="0"/>
        <w:numPr>
          <w:ilvl w:val="0"/>
          <w:numId w:val="5"/>
        </w:numPr>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spacing w:val="6"/>
          <w:sz w:val="32"/>
          <w:szCs w:val="32"/>
        </w:rPr>
        <w:t>建立与管理人的对账机制，复核、审查理财产品资金头寸、资产账目、资产净值、认</w:t>
      </w:r>
      <w:r>
        <w:rPr>
          <w:rFonts w:ascii="仿宋_GB2312" w:eastAsia="仿宋_GB2312" w:hAnsi="仿宋_GB2312" w:cs="仿宋_GB2312"/>
          <w:spacing w:val="6"/>
          <w:sz w:val="32"/>
          <w:szCs w:val="32"/>
        </w:rPr>
        <w:t>/</w:t>
      </w:r>
      <w:r>
        <w:rPr>
          <w:rFonts w:ascii="仿宋_GB2312" w:eastAsia="仿宋_GB2312" w:hAnsi="仿宋_GB2312" w:cs="仿宋_GB2312"/>
          <w:spacing w:val="6"/>
          <w:sz w:val="32"/>
          <w:szCs w:val="32"/>
        </w:rPr>
        <w:t>申购和赎回价格等数据，及时按照管理人提供的信息核查认</w:t>
      </w:r>
      <w:r>
        <w:rPr>
          <w:rFonts w:ascii="仿宋_GB2312" w:eastAsia="仿宋_GB2312" w:hAnsi="仿宋_GB2312" w:cs="仿宋_GB2312"/>
          <w:spacing w:val="6"/>
          <w:sz w:val="32"/>
          <w:szCs w:val="32"/>
        </w:rPr>
        <w:t>/</w:t>
      </w:r>
      <w:r>
        <w:rPr>
          <w:rFonts w:ascii="仿宋_GB2312" w:eastAsia="仿宋_GB2312" w:hAnsi="仿宋_GB2312" w:cs="仿宋_GB2312"/>
          <w:spacing w:val="6"/>
          <w:sz w:val="32"/>
          <w:szCs w:val="32"/>
        </w:rPr>
        <w:t>申购、赎回以及投资等资金的支付和到账情况；</w:t>
      </w:r>
    </w:p>
    <w:p w:rsidR="0081436D" w:rsidRDefault="00BD165F" w:rsidP="005D01BD">
      <w:pPr>
        <w:widowControl w:val="0"/>
        <w:numPr>
          <w:ilvl w:val="0"/>
          <w:numId w:val="5"/>
        </w:numPr>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spacing w:val="6"/>
          <w:sz w:val="32"/>
          <w:szCs w:val="32"/>
        </w:rPr>
        <w:t>办理与理财产品托管业务活动相关的信息披露事项，包括披露公募理财产品托管协议、对理财产品信息披露文件中的理财产品财务会计报告等出具意见，以及在公募理财产品半年度和年度报告中出具理财托管机构报告等；</w:t>
      </w:r>
    </w:p>
    <w:p w:rsidR="0081436D" w:rsidRDefault="00BD165F" w:rsidP="005D01BD">
      <w:pPr>
        <w:widowControl w:val="0"/>
        <w:numPr>
          <w:ilvl w:val="0"/>
          <w:numId w:val="5"/>
        </w:numPr>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spacing w:val="6"/>
          <w:sz w:val="32"/>
          <w:szCs w:val="32"/>
        </w:rPr>
        <w:t>监督理财产品投资运作；</w:t>
      </w:r>
    </w:p>
    <w:p w:rsidR="0081436D" w:rsidRDefault="00BD165F" w:rsidP="005D01BD">
      <w:pPr>
        <w:widowControl w:val="0"/>
        <w:numPr>
          <w:ilvl w:val="0"/>
          <w:numId w:val="5"/>
        </w:numPr>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spacing w:val="6"/>
          <w:sz w:val="32"/>
          <w:szCs w:val="32"/>
        </w:rPr>
        <w:t>保存理财产品托管业务活动的记录、账册、报表和其他相关资料</w:t>
      </w:r>
      <w:r>
        <w:rPr>
          <w:rFonts w:ascii="仿宋_GB2312" w:eastAsia="仿宋_GB2312" w:hAnsi="仿宋_GB2312" w:cs="仿宋_GB2312"/>
          <w:spacing w:val="6"/>
          <w:sz w:val="32"/>
          <w:szCs w:val="32"/>
        </w:rPr>
        <w:t>15</w:t>
      </w:r>
      <w:r>
        <w:rPr>
          <w:rFonts w:ascii="仿宋_GB2312" w:eastAsia="仿宋_GB2312" w:hAnsi="仿宋_GB2312" w:cs="仿宋_GB2312"/>
          <w:spacing w:val="6"/>
          <w:sz w:val="32"/>
          <w:szCs w:val="32"/>
        </w:rPr>
        <w:t>年以上；</w:t>
      </w:r>
    </w:p>
    <w:p w:rsidR="0081436D" w:rsidRDefault="00BD165F" w:rsidP="005D01BD">
      <w:pPr>
        <w:widowControl w:val="0"/>
        <w:numPr>
          <w:ilvl w:val="0"/>
          <w:numId w:val="5"/>
        </w:numPr>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spacing w:val="6"/>
          <w:sz w:val="32"/>
          <w:szCs w:val="32"/>
        </w:rPr>
        <w:t>对理财产品投资信息和相关资料承担保密责任，除法律</w:t>
      </w:r>
      <w:r>
        <w:rPr>
          <w:rFonts w:ascii="仿宋_GB2312" w:eastAsia="仿宋_GB2312" w:hAnsi="仿宋_GB2312" w:cs="仿宋_GB2312"/>
          <w:spacing w:val="6"/>
          <w:sz w:val="32"/>
          <w:szCs w:val="32"/>
        </w:rPr>
        <w:t>、行政法规、规章规定、审计要求或者合同约定外，不得向任何机构或者个人提供相关信息和资料；</w:t>
      </w:r>
    </w:p>
    <w:p w:rsidR="0081436D" w:rsidRDefault="00BD165F" w:rsidP="005D01BD">
      <w:pPr>
        <w:widowControl w:val="0"/>
        <w:numPr>
          <w:ilvl w:val="0"/>
          <w:numId w:val="5"/>
        </w:numPr>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spacing w:val="6"/>
          <w:sz w:val="32"/>
          <w:szCs w:val="32"/>
        </w:rPr>
        <w:t>配合管理人进行风险管理，托管人关联方名单可通过公开市场信息获取，具体该等名单信息以托管人官方网站最新披露的季报</w:t>
      </w:r>
      <w:r>
        <w:rPr>
          <w:rFonts w:ascii="仿宋_GB2312" w:eastAsia="仿宋_GB2312" w:hAnsi="仿宋_GB2312" w:cs="仿宋_GB2312"/>
          <w:spacing w:val="6"/>
          <w:sz w:val="32"/>
          <w:szCs w:val="32"/>
          <w:lang w:val="zh-CN"/>
        </w:rPr>
        <w:t>或</w:t>
      </w:r>
      <w:r>
        <w:rPr>
          <w:rFonts w:ascii="仿宋_GB2312" w:eastAsia="仿宋_GB2312" w:hAnsi="仿宋_GB2312" w:cs="仿宋_GB2312"/>
          <w:spacing w:val="6"/>
          <w:sz w:val="32"/>
          <w:szCs w:val="32"/>
        </w:rPr>
        <w:t>半年报</w:t>
      </w:r>
      <w:r>
        <w:rPr>
          <w:rFonts w:ascii="仿宋_GB2312" w:eastAsia="仿宋_GB2312" w:hAnsi="仿宋_GB2312" w:cs="仿宋_GB2312"/>
          <w:spacing w:val="6"/>
          <w:sz w:val="32"/>
          <w:szCs w:val="32"/>
          <w:lang w:val="zh-CN"/>
        </w:rPr>
        <w:t>或</w:t>
      </w:r>
      <w:r>
        <w:rPr>
          <w:rFonts w:ascii="仿宋_GB2312" w:eastAsia="仿宋_GB2312" w:hAnsi="仿宋_GB2312" w:cs="仿宋_GB2312"/>
          <w:spacing w:val="6"/>
          <w:sz w:val="32"/>
          <w:szCs w:val="32"/>
        </w:rPr>
        <w:t>年报披露的信息为准；</w:t>
      </w:r>
    </w:p>
    <w:p w:rsidR="0081436D" w:rsidRDefault="00BD165F" w:rsidP="005D01BD">
      <w:pPr>
        <w:widowControl w:val="0"/>
        <w:numPr>
          <w:ilvl w:val="0"/>
          <w:numId w:val="5"/>
        </w:numPr>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spacing w:val="6"/>
          <w:sz w:val="32"/>
          <w:szCs w:val="32"/>
        </w:rPr>
        <w:t>配合管理人按照管理人行外托管系统直连标准接口进行系统改造，及时完成开发、联调测试、投产上线</w:t>
      </w:r>
      <w:r>
        <w:rPr>
          <w:rFonts w:ascii="仿宋_GB2312" w:eastAsia="仿宋_GB2312" w:hAnsi="仿宋_GB2312" w:cs="仿宋_GB2312"/>
          <w:spacing w:val="6"/>
          <w:sz w:val="32"/>
          <w:szCs w:val="32"/>
        </w:rPr>
        <w:lastRenderedPageBreak/>
        <w:t>等工作；</w:t>
      </w:r>
    </w:p>
    <w:p w:rsidR="0081436D" w:rsidRDefault="00BD165F" w:rsidP="005D01BD">
      <w:pPr>
        <w:widowControl w:val="0"/>
        <w:numPr>
          <w:ilvl w:val="0"/>
          <w:numId w:val="5"/>
        </w:numPr>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spacing w:val="6"/>
          <w:sz w:val="32"/>
          <w:szCs w:val="32"/>
        </w:rPr>
        <w:t>国家有关法律法规、监管机构规定的其他义务</w:t>
      </w:r>
      <w:r>
        <w:rPr>
          <w:rFonts w:ascii="仿宋_GB2312" w:eastAsia="仿宋_GB2312" w:hAnsi="仿宋_GB2312" w:cs="仿宋_GB2312" w:hint="eastAsia"/>
          <w:spacing w:val="6"/>
          <w:sz w:val="32"/>
          <w:szCs w:val="32"/>
        </w:rPr>
        <w:t>；</w:t>
      </w:r>
    </w:p>
    <w:p w:rsidR="0081436D" w:rsidRDefault="00BD165F" w:rsidP="005D01BD">
      <w:pPr>
        <w:widowControl w:val="0"/>
        <w:numPr>
          <w:ilvl w:val="0"/>
          <w:numId w:val="5"/>
        </w:numPr>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托管人承担的托管职责仅限于法律法规规定和本协议约定，对实际管控的托管账户内资金承担托管职责。托管人的托管职责不包含以下内容，法律法规另有</w:t>
      </w:r>
      <w:r>
        <w:rPr>
          <w:rFonts w:ascii="仿宋_GB2312" w:eastAsia="仿宋_GB2312" w:hAnsi="仿宋_GB2312" w:cs="仿宋_GB2312" w:hint="eastAsia"/>
          <w:spacing w:val="6"/>
          <w:sz w:val="32"/>
          <w:szCs w:val="32"/>
        </w:rPr>
        <w:t>规定或本协议另有约定的除外：</w:t>
      </w:r>
    </w:p>
    <w:p w:rsidR="0081436D" w:rsidRDefault="00BD165F" w:rsidP="005D01BD">
      <w:pPr>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①投资者的适当性管理；</w:t>
      </w:r>
    </w:p>
    <w:p w:rsidR="0081436D" w:rsidRDefault="00BD165F" w:rsidP="005D01BD">
      <w:pPr>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②审核投资项目及交易信息真实性；</w:t>
      </w:r>
    </w:p>
    <w:p w:rsidR="0081436D" w:rsidRDefault="00BD165F" w:rsidP="005D01BD">
      <w:pPr>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③审查托管产品以及托管产品资金来源的合法合</w:t>
      </w:r>
      <w:proofErr w:type="gramStart"/>
      <w:r>
        <w:rPr>
          <w:rFonts w:ascii="仿宋_GB2312" w:eastAsia="仿宋_GB2312" w:hAnsi="仿宋_GB2312" w:cs="仿宋_GB2312" w:hint="eastAsia"/>
          <w:spacing w:val="6"/>
          <w:sz w:val="32"/>
          <w:szCs w:val="32"/>
        </w:rPr>
        <w:t>规</w:t>
      </w:r>
      <w:proofErr w:type="gramEnd"/>
      <w:r>
        <w:rPr>
          <w:rFonts w:ascii="仿宋_GB2312" w:eastAsia="仿宋_GB2312" w:hAnsi="仿宋_GB2312" w:cs="仿宋_GB2312" w:hint="eastAsia"/>
          <w:spacing w:val="6"/>
          <w:sz w:val="32"/>
          <w:szCs w:val="32"/>
        </w:rPr>
        <w:t>性；</w:t>
      </w:r>
    </w:p>
    <w:p w:rsidR="0081436D" w:rsidRDefault="00BD165F" w:rsidP="005D01BD">
      <w:pPr>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④对托管产品本金及收益提供保证或承诺；</w:t>
      </w:r>
    </w:p>
    <w:p w:rsidR="0081436D" w:rsidRDefault="00BD165F" w:rsidP="005D01BD">
      <w:pPr>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⑤对已划出托管账户以及处于托管人实际控制之外的资产的保管责任；</w:t>
      </w:r>
    </w:p>
    <w:p w:rsidR="0081436D" w:rsidRDefault="00BD165F" w:rsidP="005D01BD">
      <w:pPr>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⑥对未兑付托管产品后续资金的追偿；</w:t>
      </w:r>
    </w:p>
    <w:p w:rsidR="0081436D" w:rsidRDefault="00BD165F" w:rsidP="005D01BD">
      <w:pPr>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⑦主会计方未接受托管人的复核意见进行信息披露产生的相应责任；</w:t>
      </w:r>
    </w:p>
    <w:p w:rsidR="0081436D" w:rsidRDefault="00BD165F" w:rsidP="005D01BD">
      <w:pPr>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⑧因不可抗力，以及由于第三方（包括但不限于证券交易所、期货交易所、中国证券登记结算公司、中国期货市场监控中心等）发送或提供的数据错误及合理信赖上述信息操作给托管资产造成的损失；</w:t>
      </w:r>
    </w:p>
    <w:p w:rsidR="0081436D" w:rsidRDefault="00BD165F" w:rsidP="005D01BD">
      <w:pPr>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⑨提供保证或其他形式的担保；</w:t>
      </w:r>
    </w:p>
    <w:p w:rsidR="0081436D" w:rsidRDefault="00BD165F" w:rsidP="005D01BD">
      <w:pPr>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⑩自身应尽职责之外的连带责任。</w:t>
      </w:r>
    </w:p>
    <w:p w:rsidR="0081436D" w:rsidRDefault="0081436D" w:rsidP="005D01BD">
      <w:pPr>
        <w:widowControl w:val="0"/>
        <w:spacing w:line="590" w:lineRule="exact"/>
        <w:ind w:firstLineChars="200" w:firstLine="652"/>
        <w:jc w:val="both"/>
        <w:rPr>
          <w:rFonts w:ascii="仿宋_GB2312" w:eastAsia="仿宋_GB2312" w:hAnsi="仿宋_GB2312" w:cs="仿宋_GB2312"/>
          <w:spacing w:val="6"/>
          <w:sz w:val="32"/>
          <w:szCs w:val="32"/>
        </w:rPr>
      </w:pPr>
    </w:p>
    <w:p w:rsidR="0081436D" w:rsidRDefault="00BD165F">
      <w:pPr>
        <w:pStyle w:val="1"/>
        <w:tabs>
          <w:tab w:val="clear" w:pos="0"/>
          <w:tab w:val="clear" w:pos="5246"/>
        </w:tabs>
        <w:spacing w:before="0" w:line="590" w:lineRule="exact"/>
        <w:ind w:left="0"/>
        <w:jc w:val="center"/>
        <w:rPr>
          <w:rFonts w:ascii="仿宋_GB2312" w:eastAsia="仿宋_GB2312" w:hAnsi="仿宋_GB2312"/>
          <w:sz w:val="32"/>
          <w:szCs w:val="32"/>
        </w:rPr>
      </w:pPr>
      <w:bookmarkStart w:id="86" w:name="_Toc15085"/>
      <w:bookmarkStart w:id="87" w:name="_Toc27444"/>
      <w:bookmarkStart w:id="88" w:name="_Toc26180"/>
      <w:bookmarkStart w:id="89" w:name="_Toc26487"/>
      <w:bookmarkStart w:id="90" w:name="_Toc5240"/>
      <w:bookmarkStart w:id="91" w:name="_Toc14889"/>
      <w:bookmarkStart w:id="92" w:name="_Toc9140"/>
      <w:bookmarkStart w:id="93" w:name="_Toc25297"/>
      <w:bookmarkStart w:id="94" w:name="_Toc1543"/>
      <w:bookmarkStart w:id="95" w:name="_Toc7865"/>
      <w:r>
        <w:rPr>
          <w:rFonts w:ascii="仿宋_GB2312" w:eastAsia="仿宋_GB2312" w:hAnsi="仿宋_GB2312"/>
          <w:sz w:val="32"/>
          <w:szCs w:val="32"/>
        </w:rPr>
        <w:lastRenderedPageBreak/>
        <w:t>财产保管</w:t>
      </w:r>
      <w:bookmarkEnd w:id="86"/>
      <w:bookmarkEnd w:id="87"/>
      <w:bookmarkEnd w:id="88"/>
      <w:bookmarkEnd w:id="89"/>
      <w:bookmarkEnd w:id="90"/>
      <w:bookmarkEnd w:id="91"/>
      <w:bookmarkEnd w:id="92"/>
      <w:bookmarkEnd w:id="93"/>
      <w:bookmarkEnd w:id="94"/>
      <w:bookmarkEnd w:id="95"/>
    </w:p>
    <w:p w:rsidR="0081436D" w:rsidRDefault="00BD165F" w:rsidP="005D01BD">
      <w:pPr>
        <w:widowControl w:val="0"/>
        <w:spacing w:line="590" w:lineRule="exact"/>
        <w:ind w:firstLineChars="200" w:firstLine="652"/>
        <w:jc w:val="both"/>
        <w:rPr>
          <w:rFonts w:ascii="仿宋_GB2312" w:eastAsia="仿宋_GB2312" w:hAnsi="仿宋_GB2312" w:cs="仿宋_GB2312"/>
          <w:spacing w:val="6"/>
          <w:sz w:val="32"/>
          <w:szCs w:val="32"/>
        </w:rPr>
      </w:pPr>
      <w:bookmarkStart w:id="96" w:name="_Toc37159173"/>
      <w:r>
        <w:rPr>
          <w:rFonts w:ascii="仿宋_GB2312" w:eastAsia="仿宋_GB2312" w:hAnsi="仿宋_GB2312" w:cs="仿宋_GB2312"/>
          <w:spacing w:val="6"/>
          <w:sz w:val="32"/>
          <w:szCs w:val="32"/>
        </w:rPr>
        <w:t>（一）理财产品财产保管的原则</w:t>
      </w:r>
      <w:bookmarkStart w:id="97" w:name="_Hlt88903033"/>
      <w:bookmarkEnd w:id="96"/>
      <w:bookmarkEnd w:id="97"/>
    </w:p>
    <w:p w:rsidR="0081436D" w:rsidRDefault="00BD165F" w:rsidP="005D01BD">
      <w:pPr>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spacing w:val="6"/>
          <w:sz w:val="32"/>
          <w:szCs w:val="32"/>
        </w:rPr>
        <w:t>1.</w:t>
      </w:r>
      <w:r>
        <w:rPr>
          <w:rFonts w:ascii="仿宋_GB2312" w:eastAsia="仿宋_GB2312" w:hAnsi="仿宋_GB2312" w:cs="仿宋_GB2312"/>
          <w:spacing w:val="6"/>
          <w:sz w:val="32"/>
          <w:szCs w:val="32"/>
        </w:rPr>
        <w:t>理财产品财产独立于管理人、托管人的自有资产，因理财产品财产的管理、运用、处分或者其他情形取得的财产，均归入理财产品财产。</w:t>
      </w:r>
    </w:p>
    <w:p w:rsidR="0081436D" w:rsidRDefault="00BD165F" w:rsidP="005D01BD">
      <w:pPr>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spacing w:val="6"/>
          <w:sz w:val="32"/>
          <w:szCs w:val="32"/>
        </w:rPr>
        <w:t>2.</w:t>
      </w:r>
      <w:r>
        <w:rPr>
          <w:rFonts w:ascii="仿宋_GB2312" w:eastAsia="仿宋_GB2312" w:hAnsi="仿宋_GB2312" w:cs="仿宋_GB2312"/>
          <w:spacing w:val="6"/>
          <w:sz w:val="32"/>
          <w:szCs w:val="32"/>
        </w:rPr>
        <w:t>管理人、托管人不得将理财产品财产归入其自有资产，因依法解散、被依法撤销或者被依法宣告破产等原因进行清</w:t>
      </w:r>
      <w:r>
        <w:rPr>
          <w:rFonts w:ascii="仿宋_GB2312" w:eastAsia="仿宋_GB2312" w:hAnsi="仿宋_GB2312" w:cs="仿宋_GB2312"/>
          <w:spacing w:val="6"/>
          <w:sz w:val="32"/>
          <w:szCs w:val="32"/>
        </w:rPr>
        <w:t>算的，理财产品财产不属于其清算财产。</w:t>
      </w:r>
    </w:p>
    <w:p w:rsidR="0081436D" w:rsidRDefault="00BD165F" w:rsidP="005D01BD">
      <w:pPr>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spacing w:val="6"/>
          <w:sz w:val="32"/>
          <w:szCs w:val="32"/>
        </w:rPr>
        <w:t>3.</w:t>
      </w:r>
      <w:r>
        <w:rPr>
          <w:rFonts w:ascii="仿宋_GB2312" w:eastAsia="仿宋_GB2312" w:hAnsi="仿宋_GB2312" w:cs="仿宋_GB2312"/>
          <w:spacing w:val="6"/>
          <w:sz w:val="32"/>
          <w:szCs w:val="32"/>
        </w:rPr>
        <w:t>管理人管理、运用和处分理财产品财产所产生的债权，不得与管理人、托管人因自有资产所产生的债务相</w:t>
      </w:r>
      <w:proofErr w:type="gramStart"/>
      <w:r>
        <w:rPr>
          <w:rFonts w:ascii="仿宋_GB2312" w:eastAsia="仿宋_GB2312" w:hAnsi="仿宋_GB2312" w:cs="仿宋_GB2312"/>
          <w:spacing w:val="6"/>
          <w:sz w:val="32"/>
          <w:szCs w:val="32"/>
        </w:rPr>
        <w:t>抵销</w:t>
      </w:r>
      <w:proofErr w:type="gramEnd"/>
      <w:r>
        <w:rPr>
          <w:rFonts w:ascii="仿宋_GB2312" w:eastAsia="仿宋_GB2312" w:hAnsi="仿宋_GB2312" w:cs="仿宋_GB2312"/>
          <w:spacing w:val="6"/>
          <w:sz w:val="32"/>
          <w:szCs w:val="32"/>
        </w:rPr>
        <w:t>；管理人管理、运用和处分不同理财产品财产所产生的债权债务，不得相互</w:t>
      </w:r>
      <w:proofErr w:type="gramStart"/>
      <w:r>
        <w:rPr>
          <w:rFonts w:ascii="仿宋_GB2312" w:eastAsia="仿宋_GB2312" w:hAnsi="仿宋_GB2312" w:cs="仿宋_GB2312"/>
          <w:spacing w:val="6"/>
          <w:sz w:val="32"/>
          <w:szCs w:val="32"/>
        </w:rPr>
        <w:t>抵销</w:t>
      </w:r>
      <w:proofErr w:type="gramEnd"/>
      <w:r>
        <w:rPr>
          <w:rFonts w:ascii="仿宋_GB2312" w:eastAsia="仿宋_GB2312" w:hAnsi="仿宋_GB2312" w:cs="仿宋_GB2312"/>
          <w:spacing w:val="6"/>
          <w:sz w:val="32"/>
          <w:szCs w:val="32"/>
        </w:rPr>
        <w:t>。</w:t>
      </w:r>
      <w:bookmarkStart w:id="98" w:name="_Hlt88902859"/>
      <w:bookmarkEnd w:id="98"/>
    </w:p>
    <w:p w:rsidR="0081436D" w:rsidRDefault="00BD165F" w:rsidP="005D01BD">
      <w:pPr>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spacing w:val="6"/>
          <w:sz w:val="32"/>
          <w:szCs w:val="32"/>
        </w:rPr>
        <w:t>4.</w:t>
      </w:r>
      <w:r>
        <w:rPr>
          <w:rFonts w:ascii="仿宋_GB2312" w:eastAsia="仿宋_GB2312" w:hAnsi="仿宋_GB2312" w:cs="仿宋_GB2312"/>
          <w:spacing w:val="6"/>
          <w:sz w:val="32"/>
          <w:szCs w:val="32"/>
        </w:rPr>
        <w:t>托管人仅对其实际保管范围内的资产承担保管职责，对托管人以外的机构实际有效控制或保管的资产不承担保管责任</w:t>
      </w:r>
      <w:bookmarkStart w:id="99" w:name="OLE_LINK3"/>
      <w:bookmarkStart w:id="100" w:name="OLE_LINK4"/>
      <w:r>
        <w:rPr>
          <w:rFonts w:ascii="仿宋_GB2312" w:eastAsia="仿宋_GB2312" w:hAnsi="仿宋_GB2312" w:cs="仿宋_GB2312"/>
          <w:spacing w:val="6"/>
          <w:sz w:val="32"/>
          <w:szCs w:val="32"/>
        </w:rPr>
        <w:t>；</w:t>
      </w:r>
      <w:r>
        <w:rPr>
          <w:rFonts w:ascii="仿宋_GB2312" w:eastAsia="仿宋_GB2312" w:hAnsi="仿宋_GB2312" w:cs="仿宋_GB2312"/>
          <w:sz w:val="32"/>
          <w:szCs w:val="32"/>
        </w:rPr>
        <w:t>除管理人指令或法律法规、本协议另有规定外，托管人不得自行运用、处分和分配托管资产</w:t>
      </w:r>
      <w:r>
        <w:rPr>
          <w:rFonts w:ascii="仿宋_GB2312" w:eastAsia="仿宋_GB2312" w:hAnsi="仿宋_GB2312" w:cs="仿宋_GB2312"/>
          <w:spacing w:val="6"/>
          <w:sz w:val="32"/>
          <w:szCs w:val="32"/>
        </w:rPr>
        <w:t>。</w:t>
      </w:r>
      <w:bookmarkEnd w:id="99"/>
      <w:bookmarkEnd w:id="100"/>
    </w:p>
    <w:p w:rsidR="0081436D" w:rsidRDefault="00BD165F">
      <w:pPr>
        <w:widowControl w:val="0"/>
        <w:spacing w:line="59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sz w:val="32"/>
          <w:szCs w:val="32"/>
        </w:rPr>
        <w:t>（二）理财产品相关账户的开立和管理</w:t>
      </w:r>
    </w:p>
    <w:p w:rsidR="0081436D" w:rsidRDefault="00BD165F">
      <w:pPr>
        <w:pStyle w:val="a5"/>
        <w:widowControl w:val="0"/>
        <w:spacing w:line="59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sz w:val="32"/>
          <w:szCs w:val="32"/>
        </w:rPr>
        <w:t>托管人按</w:t>
      </w:r>
      <w:r>
        <w:rPr>
          <w:rFonts w:ascii="仿宋_GB2312" w:eastAsia="仿宋_GB2312" w:hAnsi="仿宋_GB2312" w:cs="仿宋_GB2312" w:hint="eastAsia"/>
          <w:sz w:val="32"/>
          <w:szCs w:val="32"/>
        </w:rPr>
        <w:t>规定负责开立和管理理财产品的托管账户和证券账户以及其他投资所需账户，管理人应</w:t>
      </w:r>
      <w:r>
        <w:rPr>
          <w:rFonts w:ascii="仿宋_GB2312" w:eastAsia="仿宋_GB2312" w:hAnsi="仿宋_GB2312" w:cs="仿宋_GB2312"/>
          <w:sz w:val="32"/>
          <w:szCs w:val="32"/>
        </w:rPr>
        <w:t>给予必要的配合并提供相关资料。</w:t>
      </w:r>
    </w:p>
    <w:p w:rsidR="0081436D" w:rsidRDefault="00BD165F" w:rsidP="005D01BD">
      <w:pPr>
        <w:pStyle w:val="a5"/>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spacing w:val="6"/>
          <w:sz w:val="32"/>
          <w:szCs w:val="32"/>
        </w:rPr>
        <w:t>1.</w:t>
      </w:r>
      <w:r>
        <w:rPr>
          <w:rFonts w:ascii="仿宋_GB2312" w:eastAsia="仿宋_GB2312" w:hAnsi="仿宋_GB2312" w:cs="仿宋_GB2312"/>
          <w:spacing w:val="6"/>
          <w:sz w:val="32"/>
          <w:szCs w:val="32"/>
        </w:rPr>
        <w:t>理财产品资金托管账户的开立和管理</w:t>
      </w:r>
    </w:p>
    <w:p w:rsidR="0081436D" w:rsidRDefault="00BD165F" w:rsidP="005D01BD">
      <w:pPr>
        <w:widowControl w:val="0"/>
        <w:spacing w:line="590" w:lineRule="exact"/>
        <w:ind w:firstLineChars="200" w:firstLine="652"/>
        <w:jc w:val="both"/>
        <w:rPr>
          <w:rFonts w:ascii="仿宋_GB2312" w:eastAsia="仿宋_GB2312" w:hAnsi="仿宋_GB2312" w:cs="仿宋_GB2312"/>
          <w:sz w:val="32"/>
          <w:szCs w:val="32"/>
        </w:rPr>
      </w:pPr>
      <w:r>
        <w:rPr>
          <w:rFonts w:ascii="仿宋_GB2312" w:eastAsia="仿宋_GB2312" w:hAnsi="仿宋_GB2312" w:cs="仿宋_GB2312"/>
          <w:spacing w:val="6"/>
          <w:sz w:val="32"/>
          <w:szCs w:val="32"/>
        </w:rPr>
        <w:t>托管人受管理人委托根据相关规定</w:t>
      </w:r>
      <w:r>
        <w:rPr>
          <w:rFonts w:ascii="仿宋_GB2312" w:eastAsia="仿宋_GB2312" w:hAnsi="仿宋_GB2312" w:cs="仿宋_GB2312"/>
          <w:sz w:val="32"/>
          <w:szCs w:val="32"/>
        </w:rPr>
        <w:t>和管理人提供的相关资料</w:t>
      </w:r>
      <w:r>
        <w:rPr>
          <w:rFonts w:ascii="仿宋_GB2312" w:eastAsia="仿宋_GB2312" w:hAnsi="仿宋_GB2312" w:cs="仿宋_GB2312"/>
          <w:spacing w:val="6"/>
          <w:sz w:val="32"/>
          <w:szCs w:val="32"/>
        </w:rPr>
        <w:t>为每只、每期</w:t>
      </w:r>
      <w:r>
        <w:rPr>
          <w:rFonts w:ascii="仿宋_GB2312" w:eastAsia="仿宋_GB2312" w:hAnsi="仿宋_GB2312" w:cs="仿宋_GB2312" w:hint="eastAsia"/>
          <w:spacing w:val="6"/>
          <w:sz w:val="32"/>
          <w:szCs w:val="32"/>
        </w:rPr>
        <w:t>理财产品在托管人营业机构处开</w:t>
      </w:r>
      <w:r>
        <w:rPr>
          <w:rFonts w:ascii="仿宋_GB2312" w:eastAsia="仿宋_GB2312" w:hAnsi="仿宋_GB2312" w:cs="仿宋_GB2312"/>
          <w:spacing w:val="6"/>
          <w:sz w:val="32"/>
          <w:szCs w:val="32"/>
        </w:rPr>
        <w:t>立独</w:t>
      </w:r>
      <w:r>
        <w:rPr>
          <w:rFonts w:ascii="仿宋_GB2312" w:eastAsia="仿宋_GB2312" w:hAnsi="仿宋_GB2312" w:cs="仿宋_GB2312"/>
          <w:spacing w:val="6"/>
          <w:sz w:val="32"/>
          <w:szCs w:val="32"/>
        </w:rPr>
        <w:lastRenderedPageBreak/>
        <w:t>立的资金托管账户，具体按法律法规规定及托管人的要求办理。</w:t>
      </w:r>
      <w:r>
        <w:rPr>
          <w:rFonts w:ascii="仿宋_GB2312" w:eastAsia="仿宋_GB2312" w:hAnsi="仿宋_GB2312" w:cs="仿宋_GB2312"/>
          <w:sz w:val="32"/>
          <w:szCs w:val="32"/>
        </w:rPr>
        <w:t>不同理财产品资金托管账户中的资产应当相互独立。理财产品资金托管账户只用于存放托管理财产品资金，不得透支和提现</w:t>
      </w:r>
      <w:r>
        <w:rPr>
          <w:rFonts w:ascii="仿宋_GB2312" w:eastAsia="仿宋_GB2312" w:hAnsi="仿宋_GB2312" w:cs="仿宋_GB2312" w:hint="eastAsia"/>
          <w:sz w:val="32"/>
          <w:szCs w:val="32"/>
        </w:rPr>
        <w:t>，不得通兑，不得开通企业版电话银行、网上银行等电子转账功能</w:t>
      </w:r>
      <w:r>
        <w:rPr>
          <w:rFonts w:ascii="仿宋_GB2312" w:eastAsia="仿宋_GB2312" w:hAnsi="仿宋_GB2312" w:cs="仿宋_GB2312"/>
          <w:sz w:val="32"/>
          <w:szCs w:val="32"/>
        </w:rPr>
        <w:t>。</w:t>
      </w:r>
    </w:p>
    <w:p w:rsidR="0081436D" w:rsidRDefault="00BD165F">
      <w:pPr>
        <w:pStyle w:val="a5"/>
        <w:widowControl w:val="0"/>
        <w:spacing w:line="59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sz w:val="32"/>
          <w:szCs w:val="32"/>
        </w:rPr>
        <w:t>托管人应为每只理财产品开立独立的资金托管账户</w:t>
      </w:r>
      <w:r>
        <w:rPr>
          <w:rFonts w:ascii="仿宋_GB2312" w:eastAsia="仿宋_GB2312" w:hAnsi="仿宋_GB2312" w:cs="仿宋_GB2312"/>
          <w:sz w:val="32"/>
          <w:szCs w:val="32"/>
        </w:rPr>
        <w:t>，户名为</w:t>
      </w:r>
      <w:r>
        <w:rPr>
          <w:rFonts w:ascii="仿宋_GB2312" w:eastAsia="仿宋_GB2312" w:hAnsi="仿宋_GB2312" w:cs="仿宋_GB2312"/>
          <w:sz w:val="32"/>
          <w:szCs w:val="32"/>
        </w:rPr>
        <w:t>“</w:t>
      </w:r>
      <w:r>
        <w:rPr>
          <w:rFonts w:ascii="仿宋_GB2312" w:eastAsia="仿宋_GB2312" w:hAnsi="仿宋_GB2312" w:cs="仿宋_GB2312"/>
          <w:sz w:val="32"/>
          <w:szCs w:val="32"/>
        </w:rPr>
        <w:t>光大理财</w:t>
      </w:r>
      <w:r>
        <w:rPr>
          <w:rFonts w:ascii="仿宋_GB2312" w:eastAsia="仿宋_GB2312" w:hAnsi="仿宋_GB2312" w:cs="仿宋_GB2312"/>
          <w:sz w:val="32"/>
          <w:szCs w:val="32"/>
        </w:rPr>
        <w:t>[</w:t>
      </w:r>
      <w:r>
        <w:rPr>
          <w:rFonts w:ascii="仿宋_GB2312" w:eastAsia="仿宋_GB2312" w:hAnsi="仿宋_GB2312" w:cs="仿宋_GB2312"/>
          <w:sz w:val="32"/>
          <w:szCs w:val="32"/>
        </w:rPr>
        <w:t>产品名称</w:t>
      </w:r>
      <w:r>
        <w:rPr>
          <w:rFonts w:ascii="仿宋_GB2312" w:eastAsia="仿宋_GB2312" w:hAnsi="仿宋_GB2312" w:cs="仿宋_GB2312"/>
          <w:sz w:val="32"/>
          <w:szCs w:val="32"/>
        </w:rPr>
        <w:t>]</w:t>
      </w:r>
      <w:r>
        <w:rPr>
          <w:rFonts w:ascii="仿宋_GB2312" w:eastAsia="仿宋_GB2312" w:hAnsi="仿宋_GB2312" w:cs="仿宋_GB2312"/>
          <w:sz w:val="32"/>
          <w:szCs w:val="32"/>
        </w:rPr>
        <w:t>理财产品</w:t>
      </w:r>
      <w:r>
        <w:rPr>
          <w:rFonts w:ascii="仿宋_GB2312" w:eastAsia="仿宋_GB2312" w:hAnsi="仿宋_GB2312" w:cs="仿宋_GB2312"/>
          <w:sz w:val="32"/>
          <w:szCs w:val="32"/>
        </w:rPr>
        <w:t>”</w:t>
      </w:r>
      <w:r>
        <w:rPr>
          <w:rFonts w:ascii="仿宋_GB2312" w:eastAsia="仿宋_GB2312" w:hAnsi="仿宋_GB2312" w:cs="仿宋_GB2312"/>
          <w:sz w:val="32"/>
          <w:szCs w:val="32"/>
        </w:rPr>
        <w:t>，若产品名称已包含</w:t>
      </w:r>
      <w:r>
        <w:rPr>
          <w:rFonts w:ascii="仿宋_GB2312" w:eastAsia="仿宋_GB2312" w:hAnsi="仿宋_GB2312" w:cs="仿宋_GB2312"/>
          <w:sz w:val="32"/>
          <w:szCs w:val="32"/>
        </w:rPr>
        <w:t>“</w:t>
      </w:r>
      <w:r>
        <w:rPr>
          <w:rFonts w:ascii="仿宋_GB2312" w:eastAsia="仿宋_GB2312" w:hAnsi="仿宋_GB2312" w:cs="仿宋_GB2312"/>
          <w:sz w:val="32"/>
          <w:szCs w:val="32"/>
        </w:rPr>
        <w:t>光大理财</w:t>
      </w:r>
      <w:r>
        <w:rPr>
          <w:rFonts w:ascii="仿宋_GB2312" w:eastAsia="仿宋_GB2312" w:hAnsi="仿宋_GB2312" w:cs="仿宋_GB2312"/>
          <w:sz w:val="32"/>
          <w:szCs w:val="32"/>
        </w:rPr>
        <w:t>”</w:t>
      </w:r>
      <w:r>
        <w:rPr>
          <w:rFonts w:ascii="仿宋_GB2312" w:eastAsia="仿宋_GB2312" w:hAnsi="仿宋_GB2312" w:cs="仿宋_GB2312"/>
          <w:sz w:val="32"/>
          <w:szCs w:val="32"/>
        </w:rPr>
        <w:t>，则户名为</w:t>
      </w:r>
      <w:r>
        <w:rPr>
          <w:rFonts w:ascii="仿宋_GB2312" w:eastAsia="仿宋_GB2312" w:hAnsi="仿宋_GB2312" w:cs="仿宋_GB2312"/>
          <w:sz w:val="32"/>
          <w:szCs w:val="32"/>
        </w:rPr>
        <w:t>“[</w:t>
      </w:r>
      <w:r>
        <w:rPr>
          <w:rFonts w:ascii="仿宋_GB2312" w:eastAsia="仿宋_GB2312" w:hAnsi="仿宋_GB2312" w:cs="仿宋_GB2312"/>
          <w:sz w:val="32"/>
          <w:szCs w:val="32"/>
        </w:rPr>
        <w:t>产品名称</w:t>
      </w:r>
      <w:r>
        <w:rPr>
          <w:rFonts w:ascii="仿宋_GB2312" w:eastAsia="仿宋_GB2312" w:hAnsi="仿宋_GB2312" w:cs="仿宋_GB2312"/>
          <w:sz w:val="32"/>
          <w:szCs w:val="32"/>
        </w:rPr>
        <w:t>]</w:t>
      </w:r>
      <w:r>
        <w:rPr>
          <w:rFonts w:ascii="仿宋_GB2312" w:eastAsia="仿宋_GB2312" w:hAnsi="仿宋_GB2312" w:cs="仿宋_GB2312"/>
          <w:sz w:val="32"/>
          <w:szCs w:val="32"/>
        </w:rPr>
        <w:t>理财产品</w:t>
      </w:r>
      <w:r>
        <w:rPr>
          <w:rFonts w:ascii="仿宋_GB2312" w:eastAsia="仿宋_GB2312" w:hAnsi="仿宋_GB2312" w:cs="仿宋_GB2312"/>
          <w:sz w:val="32"/>
          <w:szCs w:val="32"/>
        </w:rPr>
        <w:t>”</w:t>
      </w:r>
      <w:r>
        <w:rPr>
          <w:rFonts w:ascii="仿宋_GB2312" w:eastAsia="仿宋_GB2312" w:hAnsi="仿宋_GB2312" w:cs="仿宋_GB2312"/>
          <w:sz w:val="32"/>
          <w:szCs w:val="32"/>
        </w:rPr>
        <w:t>（户名以实际开立为准），开立资金托管账户预留印鉴由</w:t>
      </w:r>
      <w:r>
        <w:rPr>
          <w:rFonts w:ascii="仿宋_GB2312" w:eastAsia="仿宋_GB2312" w:hAnsi="仿宋_GB2312" w:cs="仿宋_GB2312" w:hint="eastAsia"/>
          <w:sz w:val="32"/>
          <w:szCs w:val="32"/>
        </w:rPr>
        <w:t>托管人</w:t>
      </w:r>
      <w:r>
        <w:rPr>
          <w:rFonts w:ascii="仿宋_GB2312" w:eastAsia="仿宋_GB2312" w:hAnsi="仿宋_GB2312" w:cs="仿宋_GB2312"/>
          <w:sz w:val="32"/>
          <w:szCs w:val="32"/>
        </w:rPr>
        <w:t>刻制、保管、使用。</w:t>
      </w:r>
    </w:p>
    <w:p w:rsidR="0081436D" w:rsidRDefault="00BD165F">
      <w:pPr>
        <w:pStyle w:val="a5"/>
        <w:widowControl w:val="0"/>
        <w:spacing w:line="590" w:lineRule="exact"/>
        <w:ind w:firstLineChars="200" w:firstLine="640"/>
        <w:jc w:val="both"/>
        <w:rPr>
          <w:rFonts w:ascii="仿宋_GB2312" w:eastAsia="仿宋_GB2312" w:hAnsi="仿宋_GB2312" w:cs="仿宋_GB2312"/>
          <w:spacing w:val="6"/>
          <w:sz w:val="32"/>
          <w:szCs w:val="32"/>
        </w:rPr>
      </w:pPr>
      <w:r>
        <w:rPr>
          <w:rFonts w:ascii="仿宋_GB2312" w:eastAsia="仿宋_GB2312" w:hAnsi="仿宋_GB2312" w:cs="仿宋_GB2312"/>
          <w:sz w:val="32"/>
          <w:szCs w:val="32"/>
        </w:rPr>
        <w:t>管理人应当在开户过程中给予必要的配合，并提供所需材料及理财产品受益所有人信息，管理人保证所提供的资金托管账户开户材料的真实性、准确性、完整性和有效性，且在相关资料变更后应及时将变更的资料提供给托管人。</w:t>
      </w:r>
    </w:p>
    <w:p w:rsidR="0081436D" w:rsidRDefault="00BD165F" w:rsidP="005D01BD">
      <w:pPr>
        <w:pStyle w:val="a5"/>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spacing w:val="6"/>
          <w:sz w:val="32"/>
          <w:szCs w:val="32"/>
        </w:rPr>
        <w:t>2.</w:t>
      </w:r>
      <w:r>
        <w:rPr>
          <w:rFonts w:ascii="仿宋_GB2312" w:eastAsia="仿宋_GB2312" w:hAnsi="仿宋_GB2312" w:cs="仿宋_GB2312"/>
          <w:spacing w:val="6"/>
          <w:sz w:val="32"/>
          <w:szCs w:val="32"/>
        </w:rPr>
        <w:t>理财产品证券账户的开立和管理</w:t>
      </w:r>
    </w:p>
    <w:p w:rsidR="0081436D" w:rsidRDefault="00BD165F" w:rsidP="005D01BD">
      <w:pPr>
        <w:pStyle w:val="a5"/>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spacing w:val="6"/>
          <w:sz w:val="32"/>
          <w:szCs w:val="32"/>
        </w:rPr>
        <w:t>管理人开展符合有关法律法规规定和理财产品发行文件约定的投资业务时</w:t>
      </w:r>
      <w:r>
        <w:rPr>
          <w:rFonts w:ascii="仿宋_GB2312" w:eastAsia="仿宋_GB2312" w:hAnsi="仿宋_GB2312" w:cs="仿宋_GB2312"/>
          <w:sz w:val="32"/>
          <w:szCs w:val="32"/>
        </w:rPr>
        <w:t>，</w:t>
      </w:r>
      <w:r>
        <w:rPr>
          <w:rFonts w:ascii="仿宋_GB2312" w:eastAsia="仿宋_GB2312" w:hAnsi="仿宋_GB2312" w:cs="仿宋_GB2312"/>
          <w:spacing w:val="6"/>
          <w:sz w:val="32"/>
          <w:szCs w:val="32"/>
        </w:rPr>
        <w:t>托管人按照管理人要求，根据相关法律法规及证券登记机构规定为每只、每期理财产品开立有关证券账户，管理人应给予必要的配合。该类账户由管理人按有关规则使用并管理。</w:t>
      </w:r>
    </w:p>
    <w:p w:rsidR="0081436D" w:rsidRDefault="00BD165F" w:rsidP="005D01BD">
      <w:pPr>
        <w:pStyle w:val="a5"/>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spacing w:val="6"/>
          <w:sz w:val="32"/>
          <w:szCs w:val="32"/>
        </w:rPr>
        <w:t>对于证券公司结算模式的理财产品，管理人负责在证券公司处按照规定开立证券资金账户，证券资金账户名称</w:t>
      </w:r>
      <w:r>
        <w:rPr>
          <w:rFonts w:ascii="仿宋_GB2312" w:eastAsia="仿宋_GB2312" w:hAnsi="仿宋_GB2312" w:cs="仿宋_GB2312"/>
          <w:spacing w:val="6"/>
          <w:sz w:val="32"/>
          <w:szCs w:val="32"/>
        </w:rPr>
        <w:lastRenderedPageBreak/>
        <w:t>与在托管人处开立的资金托管账户的名称一致。理财产品资金托管账户和证券资金账户一经开立，即应按证券公司结算模式建立唯一对应的第三方存管关系，对应关系一经确定，不得随意更改。如因特殊情形必须更改，管理人应提前三个工作日，以书面形式告知托管人，经托管人书面确认后方</w:t>
      </w:r>
      <w:r>
        <w:rPr>
          <w:rFonts w:ascii="仿宋_GB2312" w:eastAsia="仿宋_GB2312" w:hAnsi="仿宋_GB2312" w:cs="仿宋_GB2312"/>
          <w:spacing w:val="6"/>
          <w:sz w:val="32"/>
          <w:szCs w:val="32"/>
        </w:rPr>
        <w:t>可更改。理财产品管理期间进行的所有场内投资，均需通过证券资金账户进行资金的交收。管理人、托管人及证券公司的职责以三方另行签订的证券经纪服务协议中约定为准。</w:t>
      </w:r>
    </w:p>
    <w:p w:rsidR="0081436D" w:rsidRDefault="00BD165F" w:rsidP="005D01BD">
      <w:pPr>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托管人</w:t>
      </w:r>
      <w:r>
        <w:rPr>
          <w:rFonts w:ascii="仿宋_GB2312" w:eastAsia="仿宋_GB2312" w:hAnsi="仿宋_GB2312" w:cs="仿宋_GB2312"/>
          <w:spacing w:val="6"/>
          <w:sz w:val="32"/>
          <w:szCs w:val="32"/>
        </w:rPr>
        <w:t>根据</w:t>
      </w:r>
      <w:r>
        <w:rPr>
          <w:rFonts w:ascii="仿宋_GB2312" w:eastAsia="仿宋_GB2312" w:hAnsi="仿宋_GB2312" w:cs="仿宋_GB2312" w:hint="eastAsia"/>
          <w:spacing w:val="6"/>
          <w:sz w:val="32"/>
          <w:szCs w:val="32"/>
        </w:rPr>
        <w:t>管理人</w:t>
      </w:r>
      <w:r>
        <w:rPr>
          <w:rFonts w:ascii="仿宋_GB2312" w:eastAsia="仿宋_GB2312" w:hAnsi="仿宋_GB2312" w:cs="仿宋_GB2312"/>
          <w:spacing w:val="6"/>
          <w:sz w:val="32"/>
          <w:szCs w:val="32"/>
        </w:rPr>
        <w:t>的划款指令通过银证</w:t>
      </w:r>
      <w:r>
        <w:rPr>
          <w:rFonts w:ascii="仿宋_GB2312" w:eastAsia="仿宋_GB2312" w:hAnsi="仿宋_GB2312" w:cs="仿宋_GB2312"/>
          <w:spacing w:val="6"/>
          <w:sz w:val="32"/>
          <w:szCs w:val="32"/>
        </w:rPr>
        <w:t>/</w:t>
      </w:r>
      <w:r>
        <w:rPr>
          <w:rFonts w:ascii="仿宋_GB2312" w:eastAsia="仿宋_GB2312" w:hAnsi="仿宋_GB2312" w:cs="仿宋_GB2312"/>
          <w:spacing w:val="6"/>
          <w:sz w:val="32"/>
          <w:szCs w:val="32"/>
        </w:rPr>
        <w:t>证银转账方式负责存取证券交易结算资金。存入证券交易资金的，应从</w:t>
      </w:r>
      <w:r>
        <w:rPr>
          <w:rFonts w:ascii="仿宋_GB2312" w:eastAsia="仿宋_GB2312" w:hAnsi="仿宋_GB2312" w:cs="仿宋_GB2312" w:hint="eastAsia"/>
          <w:spacing w:val="6"/>
          <w:sz w:val="32"/>
          <w:szCs w:val="32"/>
        </w:rPr>
        <w:t>资金</w:t>
      </w:r>
      <w:r>
        <w:rPr>
          <w:rFonts w:ascii="仿宋_GB2312" w:eastAsia="仿宋_GB2312" w:hAnsi="仿宋_GB2312" w:cs="仿宋_GB2312"/>
          <w:spacing w:val="6"/>
          <w:sz w:val="32"/>
          <w:szCs w:val="32"/>
        </w:rPr>
        <w:t>托管账户划</w:t>
      </w:r>
      <w:proofErr w:type="gramStart"/>
      <w:r>
        <w:rPr>
          <w:rFonts w:ascii="仿宋_GB2312" w:eastAsia="仿宋_GB2312" w:hAnsi="仿宋_GB2312" w:cs="仿宋_GB2312"/>
          <w:spacing w:val="6"/>
          <w:sz w:val="32"/>
          <w:szCs w:val="32"/>
        </w:rPr>
        <w:t>至证券</w:t>
      </w:r>
      <w:proofErr w:type="gramEnd"/>
      <w:r>
        <w:rPr>
          <w:rFonts w:ascii="仿宋_GB2312" w:eastAsia="仿宋_GB2312" w:hAnsi="仿宋_GB2312" w:cs="仿宋_GB2312"/>
          <w:spacing w:val="6"/>
          <w:sz w:val="32"/>
          <w:szCs w:val="32"/>
        </w:rPr>
        <w:t>资金</w:t>
      </w:r>
      <w:r>
        <w:rPr>
          <w:rFonts w:ascii="仿宋_GB2312" w:eastAsia="仿宋_GB2312" w:hAnsi="仿宋_GB2312" w:cs="仿宋_GB2312" w:hint="eastAsia"/>
          <w:spacing w:val="6"/>
          <w:sz w:val="32"/>
          <w:szCs w:val="32"/>
        </w:rPr>
        <w:t>账户</w:t>
      </w:r>
      <w:r>
        <w:rPr>
          <w:rFonts w:ascii="仿宋_GB2312" w:eastAsia="仿宋_GB2312" w:hAnsi="仿宋_GB2312" w:cs="仿宋_GB2312"/>
          <w:spacing w:val="6"/>
          <w:sz w:val="32"/>
          <w:szCs w:val="32"/>
        </w:rPr>
        <w:t>；取出证券交易资金的，应从证券资金</w:t>
      </w:r>
      <w:r>
        <w:rPr>
          <w:rFonts w:ascii="仿宋_GB2312" w:eastAsia="仿宋_GB2312" w:hAnsi="仿宋_GB2312" w:cs="仿宋_GB2312" w:hint="eastAsia"/>
          <w:spacing w:val="6"/>
          <w:sz w:val="32"/>
          <w:szCs w:val="32"/>
        </w:rPr>
        <w:t>账户</w:t>
      </w:r>
      <w:r>
        <w:rPr>
          <w:rFonts w:ascii="仿宋_GB2312" w:eastAsia="仿宋_GB2312" w:hAnsi="仿宋_GB2312" w:cs="仿宋_GB2312"/>
          <w:spacing w:val="6"/>
          <w:sz w:val="32"/>
          <w:szCs w:val="32"/>
        </w:rPr>
        <w:t>划至</w:t>
      </w:r>
      <w:r>
        <w:rPr>
          <w:rFonts w:ascii="仿宋_GB2312" w:eastAsia="仿宋_GB2312" w:hAnsi="仿宋_GB2312" w:cs="仿宋_GB2312" w:hint="eastAsia"/>
          <w:spacing w:val="6"/>
          <w:sz w:val="32"/>
          <w:szCs w:val="32"/>
        </w:rPr>
        <w:t>资金</w:t>
      </w:r>
      <w:r>
        <w:rPr>
          <w:rFonts w:ascii="仿宋_GB2312" w:eastAsia="仿宋_GB2312" w:hAnsi="仿宋_GB2312" w:cs="仿宋_GB2312"/>
          <w:spacing w:val="6"/>
          <w:sz w:val="32"/>
          <w:szCs w:val="32"/>
        </w:rPr>
        <w:t>托管账户。</w:t>
      </w:r>
    </w:p>
    <w:p w:rsidR="0081436D" w:rsidRDefault="00BD165F" w:rsidP="005D01BD">
      <w:pPr>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管理人</w:t>
      </w:r>
      <w:r>
        <w:rPr>
          <w:rFonts w:ascii="仿宋_GB2312" w:eastAsia="仿宋_GB2312" w:hAnsi="仿宋_GB2312" w:cs="仿宋_GB2312"/>
          <w:spacing w:val="6"/>
          <w:sz w:val="32"/>
          <w:szCs w:val="32"/>
        </w:rPr>
        <w:t>应在理财产品证券资金账户开立完毕后一个工作日内将客户证券交易资金</w:t>
      </w:r>
      <w:r>
        <w:rPr>
          <w:rFonts w:ascii="仿宋_GB2312" w:eastAsia="仿宋_GB2312" w:hAnsi="仿宋_GB2312" w:cs="仿宋_GB2312" w:hint="eastAsia"/>
          <w:spacing w:val="6"/>
          <w:sz w:val="32"/>
          <w:szCs w:val="32"/>
        </w:rPr>
        <w:t>账户</w:t>
      </w:r>
      <w:r>
        <w:rPr>
          <w:rFonts w:ascii="仿宋_GB2312" w:eastAsia="仿宋_GB2312" w:hAnsi="仿宋_GB2312" w:cs="仿宋_GB2312"/>
          <w:spacing w:val="6"/>
          <w:sz w:val="32"/>
          <w:szCs w:val="32"/>
        </w:rPr>
        <w:t>的密码通知</w:t>
      </w:r>
      <w:r>
        <w:rPr>
          <w:rFonts w:ascii="仿宋_GB2312" w:eastAsia="仿宋_GB2312" w:hAnsi="仿宋_GB2312" w:cs="仿宋_GB2312" w:hint="eastAsia"/>
          <w:spacing w:val="6"/>
          <w:sz w:val="32"/>
          <w:szCs w:val="32"/>
        </w:rPr>
        <w:t>托管人</w:t>
      </w:r>
      <w:r>
        <w:rPr>
          <w:rFonts w:ascii="仿宋_GB2312" w:eastAsia="仿宋_GB2312" w:hAnsi="仿宋_GB2312" w:cs="仿宋_GB2312"/>
          <w:spacing w:val="6"/>
          <w:sz w:val="32"/>
          <w:szCs w:val="32"/>
        </w:rPr>
        <w:t>且</w:t>
      </w:r>
      <w:proofErr w:type="gramStart"/>
      <w:r>
        <w:rPr>
          <w:rFonts w:ascii="仿宋_GB2312" w:eastAsia="仿宋_GB2312" w:hAnsi="仿宋_GB2312" w:cs="仿宋_GB2312"/>
          <w:spacing w:val="6"/>
          <w:sz w:val="32"/>
          <w:szCs w:val="32"/>
        </w:rPr>
        <w:t>仅通知</w:t>
      </w:r>
      <w:proofErr w:type="gramEnd"/>
      <w:r>
        <w:rPr>
          <w:rFonts w:ascii="仿宋_GB2312" w:eastAsia="仿宋_GB2312" w:hAnsi="仿宋_GB2312" w:cs="仿宋_GB2312" w:hint="eastAsia"/>
          <w:spacing w:val="6"/>
          <w:sz w:val="32"/>
          <w:szCs w:val="32"/>
        </w:rPr>
        <w:t>托管人，并配合托管人办理</w:t>
      </w:r>
      <w:r>
        <w:rPr>
          <w:rFonts w:ascii="仿宋_GB2312" w:eastAsia="仿宋_GB2312" w:hAnsi="仿宋_GB2312" w:cs="仿宋_GB2312"/>
          <w:spacing w:val="6"/>
          <w:sz w:val="32"/>
          <w:szCs w:val="32"/>
        </w:rPr>
        <w:t>第三方存管</w:t>
      </w:r>
      <w:r>
        <w:rPr>
          <w:rFonts w:ascii="仿宋_GB2312" w:eastAsia="仿宋_GB2312" w:hAnsi="仿宋_GB2312" w:cs="仿宋_GB2312" w:hint="eastAsia"/>
          <w:spacing w:val="6"/>
          <w:sz w:val="32"/>
          <w:szCs w:val="32"/>
        </w:rPr>
        <w:t>签约手续</w:t>
      </w:r>
      <w:r>
        <w:rPr>
          <w:rFonts w:ascii="仿宋_GB2312" w:eastAsia="仿宋_GB2312" w:hAnsi="仿宋_GB2312" w:cs="仿宋_GB2312"/>
          <w:spacing w:val="6"/>
          <w:sz w:val="32"/>
          <w:szCs w:val="32"/>
        </w:rPr>
        <w:t>。</w:t>
      </w:r>
    </w:p>
    <w:p w:rsidR="0081436D" w:rsidRDefault="00BD165F" w:rsidP="005D01BD">
      <w:pPr>
        <w:pStyle w:val="a5"/>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spacing w:val="6"/>
          <w:sz w:val="32"/>
          <w:szCs w:val="32"/>
        </w:rPr>
        <w:t>3.</w:t>
      </w:r>
      <w:r>
        <w:rPr>
          <w:rFonts w:ascii="仿宋_GB2312" w:eastAsia="仿宋_GB2312" w:hAnsi="仿宋_GB2312" w:cs="仿宋_GB2312"/>
          <w:spacing w:val="6"/>
          <w:sz w:val="32"/>
          <w:szCs w:val="32"/>
        </w:rPr>
        <w:t>理财产品存款投资账户的开</w:t>
      </w:r>
      <w:r>
        <w:rPr>
          <w:rFonts w:ascii="仿宋_GB2312" w:eastAsia="仿宋_GB2312" w:hAnsi="仿宋_GB2312" w:cs="仿宋_GB2312"/>
          <w:spacing w:val="6"/>
          <w:sz w:val="32"/>
          <w:szCs w:val="32"/>
        </w:rPr>
        <w:t>立和管理</w:t>
      </w:r>
    </w:p>
    <w:p w:rsidR="0081436D" w:rsidRDefault="00BD165F" w:rsidP="005D01BD">
      <w:pPr>
        <w:pStyle w:val="a5"/>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委托资产投资定期存款，管理人应与存款机构签订定期存款协议，定期存款协议需向托管人进行确认，该协议作为划款指令附件。在取得存款证实书后，托管人负责保管存款证实书原件，具体事宜管理人需提前与托管人另行约定。</w:t>
      </w:r>
    </w:p>
    <w:p w:rsidR="0081436D" w:rsidRDefault="00BD165F" w:rsidP="005D01BD">
      <w:pPr>
        <w:pStyle w:val="a5"/>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spacing w:val="6"/>
          <w:sz w:val="32"/>
          <w:szCs w:val="32"/>
        </w:rPr>
        <w:t>4.</w:t>
      </w:r>
      <w:r>
        <w:rPr>
          <w:rFonts w:ascii="仿宋_GB2312" w:eastAsia="仿宋_GB2312" w:hAnsi="仿宋_GB2312" w:cs="仿宋_GB2312"/>
          <w:spacing w:val="6"/>
          <w:sz w:val="32"/>
          <w:szCs w:val="32"/>
        </w:rPr>
        <w:t>基金账户的开立与管理</w:t>
      </w:r>
    </w:p>
    <w:p w:rsidR="0081436D" w:rsidRDefault="00BD165F" w:rsidP="005D01BD">
      <w:pPr>
        <w:pStyle w:val="a5"/>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spacing w:val="6"/>
          <w:sz w:val="32"/>
          <w:szCs w:val="32"/>
        </w:rPr>
        <w:lastRenderedPageBreak/>
        <w:t>理财产品进行基金投资时，管理人自行在基金注册登记机构为理财产品开立基金账户，该账户专用于理财产品投资基金。该账户对应的指定唯一收款账户为理财</w:t>
      </w:r>
      <w:r>
        <w:rPr>
          <w:rFonts w:ascii="仿宋_GB2312" w:eastAsia="仿宋_GB2312" w:hAnsi="仿宋_GB2312" w:cs="仿宋_GB2312" w:hint="eastAsia"/>
          <w:spacing w:val="6"/>
          <w:sz w:val="32"/>
          <w:szCs w:val="32"/>
        </w:rPr>
        <w:t>产品资金托管账户，管理人不得擅自变更上述对应关系。理财产品可以通过第三</w:t>
      </w:r>
      <w:proofErr w:type="gramStart"/>
      <w:r>
        <w:rPr>
          <w:rFonts w:ascii="仿宋_GB2312" w:eastAsia="仿宋_GB2312" w:hAnsi="仿宋_GB2312" w:cs="仿宋_GB2312" w:hint="eastAsia"/>
          <w:spacing w:val="6"/>
          <w:sz w:val="32"/>
          <w:szCs w:val="32"/>
        </w:rPr>
        <w:t>方基金</w:t>
      </w:r>
      <w:proofErr w:type="gramEnd"/>
      <w:r>
        <w:rPr>
          <w:rFonts w:ascii="仿宋_GB2312" w:eastAsia="仿宋_GB2312" w:hAnsi="仿宋_GB2312" w:cs="仿宋_GB2312" w:hint="eastAsia"/>
          <w:spacing w:val="6"/>
          <w:sz w:val="32"/>
          <w:szCs w:val="32"/>
        </w:rPr>
        <w:t>销售机构渠道投资开放式基金。管理人应负责制订选择第三</w:t>
      </w:r>
      <w:proofErr w:type="gramStart"/>
      <w:r>
        <w:rPr>
          <w:rFonts w:ascii="仿宋_GB2312" w:eastAsia="仿宋_GB2312" w:hAnsi="仿宋_GB2312" w:cs="仿宋_GB2312" w:hint="eastAsia"/>
          <w:spacing w:val="6"/>
          <w:sz w:val="32"/>
          <w:szCs w:val="32"/>
        </w:rPr>
        <w:t>方基</w:t>
      </w:r>
      <w:r>
        <w:rPr>
          <w:rFonts w:ascii="仿宋_GB2312" w:eastAsia="仿宋_GB2312" w:hAnsi="仿宋_GB2312" w:cs="仿宋_GB2312" w:hint="eastAsia"/>
          <w:spacing w:val="6"/>
          <w:sz w:val="32"/>
          <w:szCs w:val="32"/>
        </w:rPr>
        <w:t>金</w:t>
      </w:r>
      <w:proofErr w:type="gramEnd"/>
      <w:r>
        <w:rPr>
          <w:rFonts w:ascii="仿宋_GB2312" w:eastAsia="仿宋_GB2312" w:hAnsi="仿宋_GB2312" w:cs="仿宋_GB2312" w:hint="eastAsia"/>
          <w:spacing w:val="6"/>
          <w:sz w:val="32"/>
          <w:szCs w:val="32"/>
        </w:rPr>
        <w:t>销售机构的标准和程序，并据此选择第三</w:t>
      </w:r>
      <w:proofErr w:type="gramStart"/>
      <w:r>
        <w:rPr>
          <w:rFonts w:ascii="仿宋_GB2312" w:eastAsia="仿宋_GB2312" w:hAnsi="仿宋_GB2312" w:cs="仿宋_GB2312" w:hint="eastAsia"/>
          <w:spacing w:val="6"/>
          <w:sz w:val="32"/>
          <w:szCs w:val="32"/>
        </w:rPr>
        <w:t>方销售</w:t>
      </w:r>
      <w:proofErr w:type="gramEnd"/>
      <w:r>
        <w:rPr>
          <w:rFonts w:ascii="仿宋_GB2312" w:eastAsia="仿宋_GB2312" w:hAnsi="仿宋_GB2312" w:cs="仿宋_GB2312" w:hint="eastAsia"/>
          <w:spacing w:val="6"/>
          <w:sz w:val="32"/>
          <w:szCs w:val="32"/>
        </w:rPr>
        <w:t>机构。理财产品通过第三</w:t>
      </w:r>
      <w:proofErr w:type="gramStart"/>
      <w:r>
        <w:rPr>
          <w:rFonts w:ascii="仿宋_GB2312" w:eastAsia="仿宋_GB2312" w:hAnsi="仿宋_GB2312" w:cs="仿宋_GB2312" w:hint="eastAsia"/>
          <w:spacing w:val="6"/>
          <w:sz w:val="32"/>
          <w:szCs w:val="32"/>
        </w:rPr>
        <w:t>方基金</w:t>
      </w:r>
      <w:proofErr w:type="gramEnd"/>
      <w:r>
        <w:rPr>
          <w:rFonts w:ascii="仿宋_GB2312" w:eastAsia="仿宋_GB2312" w:hAnsi="仿宋_GB2312" w:cs="仿宋_GB2312" w:hint="eastAsia"/>
          <w:spacing w:val="6"/>
          <w:sz w:val="32"/>
          <w:szCs w:val="32"/>
        </w:rPr>
        <w:t>销售机构渠道投资开放式基金，管理人应与托管人签署相关操作备忘录。</w:t>
      </w:r>
    </w:p>
    <w:p w:rsidR="0081436D" w:rsidRDefault="00BD165F" w:rsidP="005D01BD">
      <w:pPr>
        <w:pStyle w:val="a5"/>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spacing w:val="6"/>
          <w:sz w:val="32"/>
          <w:szCs w:val="32"/>
        </w:rPr>
        <w:t>5.</w:t>
      </w:r>
      <w:r>
        <w:rPr>
          <w:rFonts w:ascii="仿宋_GB2312" w:eastAsia="仿宋_GB2312" w:hAnsi="仿宋_GB2312" w:cs="仿宋_GB2312"/>
          <w:spacing w:val="6"/>
          <w:sz w:val="32"/>
          <w:szCs w:val="32"/>
        </w:rPr>
        <w:t>银行间账户的开设和管理</w:t>
      </w:r>
    </w:p>
    <w:p w:rsidR="0081436D" w:rsidRDefault="00BD165F" w:rsidP="005D01BD">
      <w:pPr>
        <w:pStyle w:val="a5"/>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本协议生效后，在符合监管相关要求的情况下，托管人为理财产品开设银行间账户（以实际开户名称为准），管理人应当予以配合并提供相关资料。</w:t>
      </w:r>
    </w:p>
    <w:p w:rsidR="0081436D" w:rsidRDefault="00BD165F" w:rsidP="005D01BD">
      <w:pPr>
        <w:pStyle w:val="a5"/>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spacing w:val="6"/>
          <w:sz w:val="32"/>
          <w:szCs w:val="32"/>
        </w:rPr>
        <w:t>6.</w:t>
      </w:r>
      <w:r>
        <w:rPr>
          <w:rFonts w:ascii="仿宋_GB2312" w:eastAsia="仿宋_GB2312" w:hAnsi="仿宋_GB2312" w:cs="仿宋_GB2312"/>
          <w:spacing w:val="6"/>
          <w:sz w:val="32"/>
          <w:szCs w:val="32"/>
        </w:rPr>
        <w:t>其他账户的开立与管理</w:t>
      </w:r>
    </w:p>
    <w:p w:rsidR="0081436D" w:rsidRDefault="00BD165F" w:rsidP="005D01BD">
      <w:pPr>
        <w:pStyle w:val="a5"/>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spacing w:val="6"/>
          <w:sz w:val="32"/>
          <w:szCs w:val="32"/>
        </w:rPr>
        <w:t>因理财产品业务发展需要而开立的其他账户，可以根据法律法规及其他规范性文件的规定，由托管人协助管理人开立。</w:t>
      </w:r>
    </w:p>
    <w:p w:rsidR="0081436D" w:rsidRDefault="00BD165F" w:rsidP="005D01BD">
      <w:pPr>
        <w:pStyle w:val="a5"/>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spacing w:val="6"/>
          <w:sz w:val="32"/>
          <w:szCs w:val="32"/>
        </w:rPr>
        <w:t>7</w:t>
      </w:r>
      <w:r>
        <w:rPr>
          <w:rFonts w:ascii="仿宋_GB2312" w:eastAsia="仿宋_GB2312" w:hAnsi="仿宋_GB2312" w:cs="仿宋_GB2312"/>
          <w:spacing w:val="6"/>
          <w:sz w:val="32"/>
          <w:szCs w:val="32"/>
        </w:rPr>
        <w:t>.</w:t>
      </w:r>
      <w:r>
        <w:rPr>
          <w:rFonts w:ascii="仿宋_GB2312" w:eastAsia="仿宋_GB2312" w:hAnsi="仿宋_GB2312" w:cs="仿宋_GB2312"/>
          <w:spacing w:val="6"/>
          <w:sz w:val="32"/>
          <w:szCs w:val="32"/>
        </w:rPr>
        <w:t>除开户机构另有规定外，投资账户户名与理财产品资金托管账户户名一致，投资本金及收益回款账户应指定为对应理财产品资金托管账户。</w:t>
      </w:r>
    </w:p>
    <w:p w:rsidR="0081436D" w:rsidRDefault="00BD165F" w:rsidP="005D01BD">
      <w:pPr>
        <w:pStyle w:val="a5"/>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spacing w:val="6"/>
          <w:sz w:val="32"/>
          <w:szCs w:val="32"/>
        </w:rPr>
        <w:t>因管理人投资运作注册登记在中国结算公司和银行间市场登记结算机构等托管人以外机构的证券等资产以及在托管人以外银行开立的银行账户内的资金保管由管理人或</w:t>
      </w:r>
      <w:r>
        <w:rPr>
          <w:rFonts w:ascii="仿宋_GB2312" w:eastAsia="仿宋_GB2312" w:hAnsi="仿宋_GB2312" w:cs="仿宋_GB2312"/>
          <w:spacing w:val="6"/>
          <w:sz w:val="32"/>
          <w:szCs w:val="32"/>
        </w:rPr>
        <w:lastRenderedPageBreak/>
        <w:t>相关机构负责，托管人仅保管管理人提供的相关凭证（如需）并进行账</w:t>
      </w:r>
      <w:proofErr w:type="gramStart"/>
      <w:r>
        <w:rPr>
          <w:rFonts w:ascii="仿宋_GB2312" w:eastAsia="仿宋_GB2312" w:hAnsi="仿宋_GB2312" w:cs="仿宋_GB2312"/>
          <w:spacing w:val="6"/>
          <w:sz w:val="32"/>
          <w:szCs w:val="32"/>
        </w:rPr>
        <w:t>账</w:t>
      </w:r>
      <w:proofErr w:type="gramEnd"/>
      <w:r>
        <w:rPr>
          <w:rFonts w:ascii="仿宋_GB2312" w:eastAsia="仿宋_GB2312" w:hAnsi="仿宋_GB2312" w:cs="仿宋_GB2312"/>
          <w:spacing w:val="6"/>
          <w:sz w:val="32"/>
          <w:szCs w:val="32"/>
        </w:rPr>
        <w:t>核对（如有），账实核对（如有），托管人对该凭证的真实性、合法性、有效性、完整性不承担责任，对该等证券或资金的任何损失，托管人不承担责任。</w:t>
      </w:r>
    </w:p>
    <w:p w:rsidR="0081436D" w:rsidRDefault="00BD165F">
      <w:pPr>
        <w:pStyle w:val="a5"/>
        <w:widowControl w:val="0"/>
        <w:spacing w:line="59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sz w:val="32"/>
          <w:szCs w:val="32"/>
        </w:rPr>
        <w:t>（三）理财产品财产的交付与支取</w:t>
      </w:r>
    </w:p>
    <w:p w:rsidR="0081436D" w:rsidRDefault="00BD165F" w:rsidP="005D01BD">
      <w:pPr>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spacing w:val="6"/>
          <w:sz w:val="32"/>
          <w:szCs w:val="32"/>
        </w:rPr>
        <w:t>1.</w:t>
      </w:r>
      <w:r>
        <w:rPr>
          <w:rFonts w:ascii="仿宋_GB2312" w:eastAsia="仿宋_GB2312" w:hAnsi="仿宋_GB2312" w:cs="仿宋_GB2312"/>
          <w:spacing w:val="6"/>
          <w:sz w:val="32"/>
          <w:szCs w:val="32"/>
        </w:rPr>
        <w:t>理</w:t>
      </w:r>
      <w:r>
        <w:rPr>
          <w:rFonts w:ascii="仿宋_GB2312" w:eastAsia="仿宋_GB2312" w:hAnsi="仿宋_GB2312" w:cs="仿宋_GB2312"/>
          <w:spacing w:val="6"/>
          <w:sz w:val="32"/>
          <w:szCs w:val="32"/>
        </w:rPr>
        <w:t>财产品成立时的资产交付</w:t>
      </w:r>
    </w:p>
    <w:p w:rsidR="0081436D" w:rsidRDefault="00BD165F" w:rsidP="005D01BD">
      <w:pPr>
        <w:pStyle w:val="af"/>
        <w:widowControl w:val="0"/>
        <w:spacing w:before="0" w:beforeAutospacing="0" w:after="0" w:afterAutospacing="0" w:line="590" w:lineRule="exact"/>
        <w:ind w:firstLineChars="200" w:firstLine="652"/>
        <w:jc w:val="both"/>
        <w:rPr>
          <w:rFonts w:ascii="仿宋_GB2312" w:eastAsia="仿宋_GB2312" w:hAnsi="仿宋_GB2312" w:cs="仿宋_GB2312"/>
          <w:sz w:val="32"/>
          <w:szCs w:val="32"/>
        </w:rPr>
      </w:pPr>
      <w:r>
        <w:rPr>
          <w:rFonts w:ascii="仿宋_GB2312" w:eastAsia="仿宋_GB2312" w:hAnsi="仿宋_GB2312" w:cs="仿宋_GB2312" w:hint="eastAsia"/>
          <w:spacing w:val="6"/>
          <w:sz w:val="32"/>
          <w:szCs w:val="32"/>
        </w:rPr>
        <w:t>管理人在理财产品成立前向托管人提交理财产品相关文件，包括但不限于理财产品说明书、理财产品登记通知书等。</w:t>
      </w:r>
      <w:r>
        <w:rPr>
          <w:rFonts w:ascii="仿宋_GB2312" w:eastAsia="仿宋_GB2312" w:hAnsi="仿宋_GB2312" w:cs="仿宋_GB2312"/>
          <w:spacing w:val="6"/>
          <w:sz w:val="32"/>
          <w:szCs w:val="32"/>
        </w:rPr>
        <w:t>每只理财产品发行期结束后，</w:t>
      </w:r>
      <w:r>
        <w:rPr>
          <w:rFonts w:ascii="仿宋_GB2312" w:eastAsia="仿宋_GB2312" w:hAnsi="仿宋_GB2312" w:cs="仿宋_GB2312"/>
          <w:color w:val="000000"/>
          <w:sz w:val="32"/>
          <w:szCs w:val="32"/>
        </w:rPr>
        <w:t>管理人应对理财产品规模、份额等进行确认。在理财产品成立当日向托管人以双方认可的形式发送理财产品成立的相关数据或资料，并于该日将理财产品项下全部资金转入本协议项下资金托管账户，转入的资金应与提供的数据一致</w:t>
      </w:r>
      <w:r>
        <w:rPr>
          <w:rFonts w:ascii="仿宋_GB2312" w:eastAsia="仿宋_GB2312" w:hAnsi="仿宋_GB2312" w:cs="仿宋_GB2312"/>
          <w:sz w:val="32"/>
          <w:szCs w:val="32"/>
        </w:rPr>
        <w:t>。托管人在理财产品资金到账日当日确认资金托管账户余额与管理人通知所载金额无误后，理财产品资金到账日即为该理财产品托管运作起始日。</w:t>
      </w:r>
    </w:p>
    <w:p w:rsidR="0081436D" w:rsidRDefault="00BD165F">
      <w:pPr>
        <w:pStyle w:val="a5"/>
        <w:widowControl w:val="0"/>
        <w:spacing w:line="59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sz w:val="32"/>
          <w:szCs w:val="32"/>
        </w:rPr>
        <w:t>理财产品存续期的申购与赎</w:t>
      </w:r>
      <w:r>
        <w:rPr>
          <w:rFonts w:ascii="仿宋_GB2312" w:eastAsia="仿宋_GB2312" w:hAnsi="仿宋_GB2312" w:cs="仿宋_GB2312"/>
          <w:sz w:val="32"/>
          <w:szCs w:val="32"/>
        </w:rPr>
        <w:t>回</w:t>
      </w:r>
    </w:p>
    <w:p w:rsidR="0081436D" w:rsidRDefault="00BD165F">
      <w:pPr>
        <w:pStyle w:val="a5"/>
        <w:widowControl w:val="0"/>
        <w:spacing w:line="59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sz w:val="32"/>
          <w:szCs w:val="32"/>
        </w:rPr>
        <w:t>投资者通过理财产品销售渠道进行申购和赎回申请，由管理人办理产品份额的过户和登记，托管人负责按照双方约定的方式接收相关数据并确认资金的到账情况，依照管理人的指令划付赎回款项。</w:t>
      </w:r>
    </w:p>
    <w:p w:rsidR="0081436D" w:rsidRDefault="00BD165F">
      <w:pPr>
        <w:widowControl w:val="0"/>
        <w:spacing w:line="590" w:lineRule="exact"/>
        <w:ind w:firstLineChars="200" w:firstLine="640"/>
        <w:jc w:val="both"/>
        <w:rPr>
          <w:rFonts w:ascii="仿宋_GB2312" w:eastAsia="仿宋_GB2312" w:hAnsi="仿宋_GB2312" w:cs="仿宋_GB2312"/>
          <w:spacing w:val="6"/>
          <w:sz w:val="32"/>
          <w:szCs w:val="32"/>
        </w:rPr>
      </w:pPr>
      <w:r>
        <w:rPr>
          <w:rFonts w:ascii="仿宋_GB2312" w:eastAsia="仿宋_GB2312" w:hAnsi="仿宋_GB2312" w:cs="仿宋_GB2312"/>
          <w:sz w:val="32"/>
          <w:szCs w:val="32"/>
        </w:rPr>
        <w:t>管理人应于理财产品说明书约定的每个开放期份额确认日的次日</w:t>
      </w:r>
      <w:r>
        <w:rPr>
          <w:rFonts w:ascii="仿宋_GB2312" w:eastAsia="仿宋_GB2312" w:hAnsi="仿宋_GB2312" w:cs="仿宋_GB2312"/>
          <w:sz w:val="32"/>
          <w:szCs w:val="32"/>
        </w:rPr>
        <w:t>15</w:t>
      </w:r>
      <w:r>
        <w:rPr>
          <w:rFonts w:ascii="仿宋_GB2312" w:eastAsia="仿宋_GB2312" w:hAnsi="仿宋_GB2312" w:cs="仿宋_GB2312"/>
          <w:sz w:val="32"/>
          <w:szCs w:val="32"/>
        </w:rPr>
        <w:t>点之前将</w:t>
      </w:r>
      <w:proofErr w:type="gramStart"/>
      <w:r>
        <w:rPr>
          <w:rFonts w:ascii="仿宋_GB2312" w:eastAsia="仿宋_GB2312" w:hAnsi="仿宋_GB2312" w:cs="仿宋_GB2312"/>
          <w:sz w:val="32"/>
          <w:szCs w:val="32"/>
        </w:rPr>
        <w:t>本开放</w:t>
      </w:r>
      <w:proofErr w:type="gramEnd"/>
      <w:r>
        <w:rPr>
          <w:rFonts w:ascii="仿宋_GB2312" w:eastAsia="仿宋_GB2312" w:hAnsi="仿宋_GB2312" w:cs="仿宋_GB2312"/>
          <w:sz w:val="32"/>
          <w:szCs w:val="32"/>
        </w:rPr>
        <w:t>期经确认的理财产品申购、</w:t>
      </w:r>
      <w:r>
        <w:rPr>
          <w:rFonts w:ascii="仿宋_GB2312" w:eastAsia="仿宋_GB2312" w:hAnsi="仿宋_GB2312" w:cs="仿宋_GB2312"/>
          <w:sz w:val="32"/>
          <w:szCs w:val="32"/>
        </w:rPr>
        <w:lastRenderedPageBreak/>
        <w:t>赎回数据以电子数据等</w:t>
      </w:r>
      <w:r>
        <w:rPr>
          <w:rFonts w:ascii="仿宋_GB2312" w:eastAsia="仿宋_GB2312" w:hAnsi="仿宋_GB2312" w:cs="仿宋_GB2312"/>
          <w:color w:val="000000"/>
          <w:sz w:val="32"/>
          <w:szCs w:val="32"/>
        </w:rPr>
        <w:t>双方认可的</w:t>
      </w:r>
      <w:r>
        <w:rPr>
          <w:rFonts w:ascii="仿宋_GB2312" w:eastAsia="仿宋_GB2312" w:hAnsi="仿宋_GB2312" w:cs="仿宋_GB2312"/>
          <w:sz w:val="32"/>
          <w:szCs w:val="32"/>
        </w:rPr>
        <w:t>形式发送托管人，管理人应对数据的真实性、准确性和完整性负责</w:t>
      </w:r>
      <w:r>
        <w:rPr>
          <w:rFonts w:ascii="仿宋_GB2312" w:eastAsia="仿宋_GB2312" w:hAnsi="仿宋_GB2312" w:cs="仿宋_GB2312"/>
          <w:spacing w:val="6"/>
          <w:sz w:val="32"/>
          <w:szCs w:val="32"/>
        </w:rPr>
        <w:t>。管理人向托管人发送赎回款项指令，托管人依据管理人的指令将相应资金从资金托管账户划至资金清算账户（该账户可能</w:t>
      </w:r>
      <w:proofErr w:type="gramStart"/>
      <w:r>
        <w:rPr>
          <w:rFonts w:ascii="仿宋_GB2312" w:eastAsia="仿宋_GB2312" w:hAnsi="仿宋_GB2312" w:cs="仿宋_GB2312"/>
          <w:spacing w:val="6"/>
          <w:sz w:val="32"/>
          <w:szCs w:val="32"/>
        </w:rPr>
        <w:t>不</w:t>
      </w:r>
      <w:proofErr w:type="gramEnd"/>
      <w:r>
        <w:rPr>
          <w:rFonts w:ascii="仿宋_GB2312" w:eastAsia="仿宋_GB2312" w:hAnsi="仿宋_GB2312" w:cs="仿宋_GB2312"/>
          <w:spacing w:val="6"/>
          <w:sz w:val="32"/>
          <w:szCs w:val="32"/>
        </w:rPr>
        <w:t>唯一，以管理人指令为准，下同）。指令中的划款金额不得超过理财产品可用头寸，否则托管人有权拒绝执行指令，由此产生的责任和损失由管理人承担。</w:t>
      </w:r>
    </w:p>
    <w:p w:rsidR="0081436D" w:rsidRDefault="00BD165F" w:rsidP="005D01BD">
      <w:pPr>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spacing w:val="6"/>
          <w:sz w:val="32"/>
          <w:szCs w:val="32"/>
        </w:rPr>
        <w:t>管理人对向托管人提供的理财产品文件的完整性、真实性、合法性和准确性负责，因管理人提供的理财产品文件不实导致的所有后果均由管理人承担。</w:t>
      </w:r>
    </w:p>
    <w:p w:rsidR="0081436D" w:rsidRDefault="0081436D" w:rsidP="005D01BD">
      <w:pPr>
        <w:widowControl w:val="0"/>
        <w:spacing w:line="590" w:lineRule="exact"/>
        <w:ind w:firstLineChars="200" w:firstLine="652"/>
        <w:jc w:val="both"/>
        <w:rPr>
          <w:rFonts w:ascii="仿宋_GB2312" w:eastAsia="仿宋_GB2312" w:hAnsi="仿宋_GB2312" w:cs="仿宋_GB2312"/>
          <w:spacing w:val="6"/>
          <w:sz w:val="32"/>
          <w:szCs w:val="32"/>
        </w:rPr>
      </w:pPr>
    </w:p>
    <w:p w:rsidR="0081436D" w:rsidRDefault="00BD165F">
      <w:pPr>
        <w:pStyle w:val="1"/>
        <w:tabs>
          <w:tab w:val="clear" w:pos="0"/>
          <w:tab w:val="clear" w:pos="5246"/>
        </w:tabs>
        <w:spacing w:before="0" w:line="590" w:lineRule="exact"/>
        <w:ind w:left="0"/>
        <w:jc w:val="center"/>
        <w:rPr>
          <w:rFonts w:ascii="仿宋_GB2312" w:eastAsia="仿宋_GB2312" w:hAnsi="仿宋_GB2312"/>
          <w:sz w:val="32"/>
          <w:szCs w:val="32"/>
        </w:rPr>
      </w:pPr>
      <w:bookmarkStart w:id="101" w:name="_Toc3773"/>
      <w:bookmarkStart w:id="102" w:name="_Toc2898"/>
      <w:bookmarkStart w:id="103" w:name="_Toc30375"/>
      <w:bookmarkStart w:id="104" w:name="_Toc22022"/>
      <w:bookmarkStart w:id="105" w:name="_Toc24261"/>
      <w:bookmarkStart w:id="106" w:name="_Toc29658"/>
      <w:bookmarkStart w:id="107" w:name="_Toc28240"/>
      <w:bookmarkStart w:id="108" w:name="_Toc1045"/>
      <w:bookmarkStart w:id="109" w:name="_Toc12464"/>
      <w:bookmarkStart w:id="110" w:name="_Toc26434"/>
      <w:r>
        <w:rPr>
          <w:rFonts w:ascii="仿宋_GB2312" w:eastAsia="仿宋_GB2312" w:hAnsi="仿宋_GB2312"/>
          <w:sz w:val="32"/>
          <w:szCs w:val="32"/>
        </w:rPr>
        <w:t>投资</w:t>
      </w:r>
      <w:bookmarkEnd w:id="101"/>
      <w:bookmarkEnd w:id="102"/>
      <w:bookmarkEnd w:id="103"/>
      <w:bookmarkEnd w:id="104"/>
      <w:r>
        <w:rPr>
          <w:rFonts w:ascii="仿宋_GB2312" w:eastAsia="仿宋_GB2312" w:hAnsi="仿宋_GB2312"/>
          <w:sz w:val="32"/>
          <w:szCs w:val="32"/>
        </w:rPr>
        <w:t>范围和限制</w:t>
      </w:r>
      <w:bookmarkEnd w:id="105"/>
      <w:bookmarkEnd w:id="106"/>
      <w:bookmarkEnd w:id="107"/>
      <w:bookmarkEnd w:id="108"/>
      <w:bookmarkEnd w:id="109"/>
      <w:bookmarkEnd w:id="110"/>
    </w:p>
    <w:p w:rsidR="0081436D" w:rsidRDefault="00BD165F">
      <w:pPr>
        <w:widowControl w:val="0"/>
        <w:spacing w:line="590" w:lineRule="exact"/>
        <w:ind w:firstLineChars="200" w:firstLine="640"/>
        <w:jc w:val="both"/>
        <w:rPr>
          <w:rFonts w:ascii="仿宋_GB2312" w:eastAsia="仿宋_GB2312" w:hAnsi="仿宋_GB2312"/>
          <w:sz w:val="32"/>
          <w:szCs w:val="32"/>
        </w:rPr>
      </w:pPr>
      <w:r>
        <w:rPr>
          <w:rFonts w:ascii="仿宋_GB2312" w:eastAsia="仿宋_GB2312" w:hAnsi="仿宋_GB2312"/>
          <w:sz w:val="32"/>
          <w:szCs w:val="32"/>
        </w:rPr>
        <w:t>（一）投资范围</w:t>
      </w:r>
    </w:p>
    <w:p w:rsidR="0081436D" w:rsidRDefault="00BD165F">
      <w:pPr>
        <w:widowControl w:val="0"/>
        <w:spacing w:line="590" w:lineRule="exact"/>
        <w:ind w:firstLineChars="200" w:firstLine="640"/>
        <w:jc w:val="both"/>
        <w:rPr>
          <w:rFonts w:ascii="仿宋_GB2312" w:eastAsia="仿宋_GB2312" w:hAnsi="仿宋_GB2312"/>
          <w:sz w:val="32"/>
          <w:szCs w:val="32"/>
        </w:rPr>
      </w:pPr>
      <w:r>
        <w:rPr>
          <w:rFonts w:ascii="仿宋_GB2312" w:eastAsia="仿宋_GB2312" w:hAnsi="仿宋_GB2312"/>
          <w:sz w:val="32"/>
          <w:szCs w:val="32"/>
        </w:rPr>
        <w:t>理财产品可以投资于法律法规允许投资的资产，单只理财产品的投资范围以理财产品说明书中约定的为准。</w:t>
      </w:r>
    </w:p>
    <w:p w:rsidR="0081436D" w:rsidRDefault="00BD165F">
      <w:pPr>
        <w:widowControl w:val="0"/>
        <w:spacing w:line="590" w:lineRule="exact"/>
        <w:ind w:firstLineChars="200" w:firstLine="640"/>
        <w:jc w:val="both"/>
        <w:rPr>
          <w:rFonts w:ascii="仿宋_GB2312" w:eastAsia="仿宋_GB2312" w:hAnsi="仿宋_GB2312"/>
          <w:sz w:val="32"/>
          <w:szCs w:val="32"/>
        </w:rPr>
      </w:pPr>
      <w:r>
        <w:rPr>
          <w:rFonts w:ascii="仿宋_GB2312" w:eastAsia="仿宋_GB2312" w:hAnsi="仿宋_GB2312"/>
          <w:sz w:val="32"/>
          <w:szCs w:val="32"/>
        </w:rPr>
        <w:t>（二）投资限制</w:t>
      </w:r>
    </w:p>
    <w:p w:rsidR="0081436D" w:rsidRDefault="00BD165F">
      <w:pPr>
        <w:widowControl w:val="0"/>
        <w:spacing w:line="590" w:lineRule="exact"/>
        <w:ind w:firstLineChars="200" w:firstLine="640"/>
        <w:jc w:val="both"/>
        <w:rPr>
          <w:rFonts w:ascii="仿宋_GB2312" w:eastAsia="仿宋_GB2312" w:hAnsi="仿宋_GB2312"/>
          <w:sz w:val="32"/>
          <w:szCs w:val="32"/>
        </w:rPr>
      </w:pPr>
      <w:r>
        <w:rPr>
          <w:rFonts w:ascii="仿宋_GB2312" w:eastAsia="仿宋_GB2312" w:hAnsi="仿宋_GB2312"/>
          <w:sz w:val="32"/>
          <w:szCs w:val="32"/>
        </w:rPr>
        <w:t>单只理财产品的投资限制以法律法规及理财产品说明书中约定的为准。</w:t>
      </w:r>
    </w:p>
    <w:p w:rsidR="0081436D" w:rsidRDefault="00BD165F">
      <w:pPr>
        <w:widowControl w:val="0"/>
        <w:spacing w:line="590" w:lineRule="exact"/>
        <w:ind w:firstLineChars="200" w:firstLine="640"/>
        <w:jc w:val="both"/>
        <w:rPr>
          <w:rFonts w:ascii="仿宋_GB2312" w:eastAsia="仿宋_GB2312" w:hAnsi="仿宋_GB2312"/>
          <w:sz w:val="32"/>
          <w:szCs w:val="32"/>
        </w:rPr>
      </w:pPr>
      <w:r>
        <w:rPr>
          <w:rFonts w:ascii="仿宋_GB2312" w:eastAsia="仿宋_GB2312" w:hAnsi="仿宋_GB2312"/>
          <w:sz w:val="32"/>
          <w:szCs w:val="32"/>
        </w:rPr>
        <w:t>（三）投资禁止</w:t>
      </w:r>
    </w:p>
    <w:p w:rsidR="0081436D" w:rsidRDefault="00BD165F">
      <w:pPr>
        <w:widowControl w:val="0"/>
        <w:spacing w:line="59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单只理财产品的投资禁止以法律法规及理财产品说明书中约定的为准。</w:t>
      </w:r>
    </w:p>
    <w:p w:rsidR="0081436D" w:rsidRDefault="00BD165F" w:rsidP="005D01BD">
      <w:pPr>
        <w:pStyle w:val="af"/>
        <w:widowControl w:val="0"/>
        <w:spacing w:before="0" w:beforeAutospacing="0" w:after="0" w:afterAutospacing="0" w:line="590" w:lineRule="exact"/>
        <w:ind w:firstLineChars="200" w:firstLine="652"/>
        <w:jc w:val="both"/>
        <w:rPr>
          <w:rStyle w:val="af4"/>
          <w:rFonts w:ascii="仿宋_GB2312" w:eastAsia="仿宋_GB2312" w:hAnsi="仿宋_GB2312"/>
          <w:b w:val="0"/>
          <w:sz w:val="32"/>
          <w:szCs w:val="32"/>
        </w:rPr>
      </w:pPr>
      <w:r>
        <w:rPr>
          <w:rStyle w:val="af4"/>
          <w:rFonts w:ascii="仿宋_GB2312" w:eastAsia="仿宋_GB2312" w:hAnsi="仿宋_GB2312"/>
          <w:b w:val="0"/>
          <w:spacing w:val="6"/>
          <w:sz w:val="32"/>
          <w:szCs w:val="32"/>
        </w:rPr>
        <w:t>（四）如法律法规或监管机构取消或修改上述规定的，</w:t>
      </w:r>
      <w:r>
        <w:rPr>
          <w:rStyle w:val="af4"/>
          <w:rFonts w:ascii="仿宋_GB2312" w:eastAsia="仿宋_GB2312" w:hAnsi="仿宋_GB2312"/>
          <w:b w:val="0"/>
          <w:sz w:val="32"/>
          <w:szCs w:val="32"/>
        </w:rPr>
        <w:t>管理人在履行适当程序后按最新规定执行。</w:t>
      </w:r>
    </w:p>
    <w:p w:rsidR="0081436D" w:rsidRDefault="00BD165F">
      <w:pPr>
        <w:widowControl w:val="0"/>
        <w:spacing w:line="590" w:lineRule="exact"/>
        <w:ind w:firstLineChars="200" w:firstLine="640"/>
        <w:jc w:val="both"/>
        <w:rPr>
          <w:rFonts w:ascii="仿宋_GB2312" w:eastAsia="仿宋_GB2312" w:hAnsi="仿宋_GB2312"/>
          <w:sz w:val="32"/>
          <w:szCs w:val="32"/>
        </w:rPr>
      </w:pPr>
      <w:r>
        <w:rPr>
          <w:rFonts w:ascii="仿宋_GB2312" w:eastAsia="仿宋_GB2312" w:hAnsi="仿宋_GB2312"/>
          <w:sz w:val="32"/>
          <w:szCs w:val="32"/>
        </w:rPr>
        <w:lastRenderedPageBreak/>
        <w:t>（五）管理人应当自理财产品成立日期</w:t>
      </w:r>
      <w:r>
        <w:rPr>
          <w:rFonts w:ascii="仿宋_GB2312" w:eastAsia="仿宋_GB2312" w:hAnsi="仿宋_GB2312"/>
          <w:sz w:val="32"/>
          <w:szCs w:val="32"/>
        </w:rPr>
        <w:t>6</w:t>
      </w:r>
      <w:r>
        <w:rPr>
          <w:rFonts w:ascii="仿宋_GB2312" w:eastAsia="仿宋_GB2312" w:hAnsi="仿宋_GB2312"/>
          <w:sz w:val="32"/>
          <w:szCs w:val="32"/>
        </w:rPr>
        <w:t>个月内使相关比例符合约定</w:t>
      </w:r>
      <w:r>
        <w:rPr>
          <w:rFonts w:ascii="仿宋_GB2312" w:eastAsia="仿宋_GB2312" w:hAnsi="仿宋_GB2312" w:hint="eastAsia"/>
          <w:sz w:val="32"/>
          <w:szCs w:val="32"/>
        </w:rPr>
        <w:t>，相关比例以理财产品说明书中约定的为准</w:t>
      </w:r>
      <w:r>
        <w:rPr>
          <w:rFonts w:ascii="仿宋_GB2312" w:eastAsia="仿宋_GB2312" w:hAnsi="仿宋_GB2312"/>
          <w:sz w:val="32"/>
          <w:szCs w:val="32"/>
        </w:rPr>
        <w:t>。</w:t>
      </w:r>
    </w:p>
    <w:p w:rsidR="0081436D" w:rsidRDefault="0081436D" w:rsidP="005D01BD">
      <w:pPr>
        <w:widowControl w:val="0"/>
        <w:spacing w:line="590" w:lineRule="exact"/>
        <w:ind w:firstLineChars="200" w:firstLine="652"/>
        <w:jc w:val="both"/>
        <w:rPr>
          <w:rStyle w:val="af4"/>
          <w:rFonts w:ascii="仿宋_GB2312" w:eastAsia="仿宋_GB2312" w:hAnsi="仿宋_GB2312"/>
          <w:b w:val="0"/>
          <w:spacing w:val="6"/>
          <w:sz w:val="32"/>
          <w:szCs w:val="32"/>
        </w:rPr>
      </w:pPr>
    </w:p>
    <w:p w:rsidR="0081436D" w:rsidRDefault="00BD165F">
      <w:pPr>
        <w:pStyle w:val="1"/>
        <w:tabs>
          <w:tab w:val="clear" w:pos="0"/>
          <w:tab w:val="clear" w:pos="5246"/>
        </w:tabs>
        <w:spacing w:before="0" w:line="590" w:lineRule="exact"/>
        <w:ind w:left="0"/>
        <w:jc w:val="center"/>
        <w:rPr>
          <w:rFonts w:ascii="仿宋_GB2312" w:eastAsia="仿宋_GB2312" w:hAnsi="仿宋_GB2312"/>
          <w:sz w:val="32"/>
          <w:szCs w:val="32"/>
        </w:rPr>
      </w:pPr>
      <w:bookmarkStart w:id="111" w:name="_Toc32166"/>
      <w:bookmarkStart w:id="112" w:name="_Toc11092"/>
      <w:bookmarkStart w:id="113" w:name="_Toc22646"/>
      <w:bookmarkStart w:id="114" w:name="_Toc10036"/>
      <w:bookmarkStart w:id="115" w:name="_Toc18693"/>
      <w:bookmarkStart w:id="116" w:name="_Toc15544"/>
      <w:bookmarkStart w:id="117" w:name="_Toc22942"/>
      <w:bookmarkStart w:id="118" w:name="_Toc6655"/>
      <w:bookmarkStart w:id="119" w:name="_Toc2812"/>
      <w:bookmarkStart w:id="120" w:name="_Toc8106"/>
      <w:r>
        <w:rPr>
          <w:rFonts w:ascii="仿宋_GB2312" w:eastAsia="仿宋_GB2312" w:hAnsi="仿宋_GB2312"/>
          <w:sz w:val="32"/>
          <w:szCs w:val="32"/>
        </w:rPr>
        <w:t>指令的发送、确认与执行</w:t>
      </w:r>
      <w:bookmarkEnd w:id="111"/>
      <w:bookmarkEnd w:id="112"/>
      <w:bookmarkEnd w:id="113"/>
      <w:bookmarkEnd w:id="114"/>
      <w:bookmarkEnd w:id="115"/>
      <w:bookmarkEnd w:id="116"/>
      <w:bookmarkEnd w:id="117"/>
      <w:bookmarkEnd w:id="118"/>
      <w:bookmarkEnd w:id="119"/>
      <w:bookmarkEnd w:id="120"/>
    </w:p>
    <w:p w:rsidR="0081436D" w:rsidRDefault="00BD165F" w:rsidP="005D01BD">
      <w:pPr>
        <w:widowControl w:val="0"/>
        <w:spacing w:line="590" w:lineRule="exact"/>
        <w:ind w:firstLineChars="200" w:firstLine="652"/>
        <w:jc w:val="both"/>
        <w:rPr>
          <w:rFonts w:ascii="仿宋_GB2312" w:eastAsia="仿宋_GB2312" w:hAnsi="仿宋_GB2312" w:cs="仿宋_GB2312"/>
          <w:bCs/>
          <w:spacing w:val="6"/>
          <w:sz w:val="32"/>
          <w:szCs w:val="32"/>
        </w:rPr>
      </w:pPr>
      <w:bookmarkStart w:id="121" w:name="_Toc19089"/>
      <w:bookmarkStart w:id="122" w:name="_Toc19527"/>
      <w:r>
        <w:rPr>
          <w:rFonts w:ascii="仿宋_GB2312" w:eastAsia="仿宋_GB2312" w:hAnsi="仿宋_GB2312" w:cs="仿宋_GB2312"/>
          <w:bCs/>
          <w:spacing w:val="6"/>
          <w:sz w:val="32"/>
          <w:szCs w:val="32"/>
        </w:rPr>
        <w:t>（一）指令的内容</w:t>
      </w:r>
      <w:bookmarkEnd w:id="121"/>
      <w:bookmarkEnd w:id="122"/>
    </w:p>
    <w:p w:rsidR="0081436D" w:rsidRDefault="00BD165F" w:rsidP="005D01BD">
      <w:pPr>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spacing w:val="6"/>
          <w:sz w:val="32"/>
          <w:szCs w:val="32"/>
        </w:rPr>
        <w:t>指令是管理人在运用理财产品财产时，向托管人发出的资金划拨及其他款项支付的指令。</w:t>
      </w:r>
    </w:p>
    <w:p w:rsidR="0081436D" w:rsidRDefault="00BD165F" w:rsidP="005D01BD">
      <w:pPr>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spacing w:val="6"/>
          <w:sz w:val="32"/>
          <w:szCs w:val="32"/>
        </w:rPr>
        <w:t>管理人发送给托管人的指令应写明产品名称、划款事由、支付时间、划款金额、收付款账户等，加盖预留印鉴</w:t>
      </w:r>
      <w:r>
        <w:rPr>
          <w:rFonts w:ascii="仿宋_GB2312" w:eastAsia="仿宋_GB2312" w:hAnsi="仿宋_GB2312" w:cs="仿宋_GB2312" w:hint="eastAsia"/>
          <w:spacing w:val="6"/>
          <w:sz w:val="32"/>
          <w:szCs w:val="32"/>
        </w:rPr>
        <w:t>及</w:t>
      </w:r>
      <w:r>
        <w:rPr>
          <w:rFonts w:ascii="仿宋_GB2312" w:eastAsia="仿宋_GB2312" w:hAnsi="仿宋_GB2312" w:cs="仿宋_GB2312"/>
          <w:spacing w:val="6"/>
          <w:sz w:val="32"/>
          <w:szCs w:val="32"/>
        </w:rPr>
        <w:t>有被授权人签章后生效。</w:t>
      </w:r>
    </w:p>
    <w:p w:rsidR="0081436D" w:rsidRDefault="00BD165F" w:rsidP="005D01BD">
      <w:pPr>
        <w:widowControl w:val="0"/>
        <w:spacing w:line="590" w:lineRule="exact"/>
        <w:ind w:firstLineChars="200" w:firstLine="652"/>
        <w:jc w:val="both"/>
        <w:rPr>
          <w:rFonts w:ascii="仿宋_GB2312" w:eastAsia="仿宋_GB2312" w:hAnsi="仿宋_GB2312" w:cs="仿宋_GB2312"/>
          <w:b/>
          <w:spacing w:val="6"/>
          <w:sz w:val="32"/>
          <w:szCs w:val="32"/>
        </w:rPr>
      </w:pPr>
      <w:r>
        <w:rPr>
          <w:rFonts w:ascii="仿宋_GB2312" w:eastAsia="仿宋_GB2312" w:hAnsi="仿宋_GB2312" w:cs="仿宋_GB2312"/>
          <w:spacing w:val="6"/>
          <w:sz w:val="32"/>
          <w:szCs w:val="32"/>
        </w:rPr>
        <w:t>（二）指令的授权和变更</w:t>
      </w:r>
      <w:r>
        <w:rPr>
          <w:rFonts w:ascii="仿宋_GB2312" w:eastAsia="仿宋_GB2312" w:hAnsi="仿宋_GB2312" w:cs="仿宋_GB2312"/>
          <w:spacing w:val="6"/>
          <w:sz w:val="32"/>
          <w:szCs w:val="32"/>
        </w:rPr>
        <w:t xml:space="preserve"> </w:t>
      </w:r>
    </w:p>
    <w:p w:rsidR="0081436D" w:rsidRDefault="00BD165F" w:rsidP="005D01BD">
      <w:pPr>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spacing w:val="6"/>
          <w:sz w:val="32"/>
          <w:szCs w:val="32"/>
        </w:rPr>
        <w:t>托管运作前，管理人应向托管人提供划款指令授权书原件，划款指令授权书应包括被授权人名单、签名样本及相应权限，载明生效日期并加盖管理人公章。划款指令授权书自载明的生效日期开始生效。托管人收到划款指令授权书的日期晚于载明的生效日期的，则自托管人确认收到划款指令授权书时生效。</w:t>
      </w:r>
    </w:p>
    <w:p w:rsidR="0081436D" w:rsidRDefault="00BD165F" w:rsidP="005D01BD">
      <w:pPr>
        <w:widowControl w:val="0"/>
        <w:spacing w:line="590" w:lineRule="exact"/>
        <w:ind w:firstLineChars="200" w:firstLine="652"/>
        <w:jc w:val="both"/>
        <w:rPr>
          <w:rFonts w:ascii="仿宋_GB2312" w:eastAsia="仿宋_GB2312" w:hAnsi="仿宋_GB2312" w:cs="仿宋_GB2312"/>
          <w:color w:val="000000"/>
          <w:sz w:val="32"/>
          <w:szCs w:val="32"/>
          <w:lang w:val="zh-CN"/>
        </w:rPr>
      </w:pPr>
      <w:r>
        <w:rPr>
          <w:rFonts w:ascii="仿宋_GB2312" w:eastAsia="仿宋_GB2312" w:hAnsi="仿宋_GB2312" w:cs="仿宋_GB2312"/>
          <w:spacing w:val="6"/>
          <w:sz w:val="32"/>
          <w:szCs w:val="32"/>
        </w:rPr>
        <w:t>管理人撤换被授权人或改变被授权人权限时，管理人应在变更前</w:t>
      </w:r>
      <w:r>
        <w:rPr>
          <w:rFonts w:ascii="仿宋_GB2312" w:eastAsia="仿宋_GB2312" w:hAnsi="仿宋_GB2312" w:cs="仿宋_GB2312"/>
          <w:spacing w:val="6"/>
          <w:sz w:val="32"/>
          <w:szCs w:val="32"/>
        </w:rPr>
        <w:t>5</w:t>
      </w:r>
      <w:r>
        <w:rPr>
          <w:rFonts w:ascii="仿宋_GB2312" w:eastAsia="仿宋_GB2312" w:hAnsi="仿宋_GB2312" w:cs="仿宋_GB2312"/>
          <w:spacing w:val="6"/>
          <w:sz w:val="32"/>
          <w:szCs w:val="32"/>
        </w:rPr>
        <w:t>个工作日以传真或其他双方认可的方式通知托管人，</w:t>
      </w:r>
      <w:bookmarkStart w:id="123" w:name="OLE_LINK16"/>
      <w:r>
        <w:rPr>
          <w:rFonts w:ascii="仿宋_GB2312" w:eastAsia="仿宋_GB2312" w:hAnsi="仿宋_GB2312" w:cs="仿宋_GB2312"/>
          <w:spacing w:val="6"/>
          <w:sz w:val="32"/>
          <w:szCs w:val="32"/>
        </w:rPr>
        <w:t>注明前后更换人员，</w:t>
      </w:r>
      <w:proofErr w:type="gramStart"/>
      <w:r>
        <w:rPr>
          <w:rFonts w:ascii="仿宋_GB2312" w:eastAsia="仿宋_GB2312" w:hAnsi="仿宋_GB2312" w:cs="仿宋_GB2312"/>
          <w:spacing w:val="6"/>
          <w:sz w:val="32"/>
          <w:szCs w:val="32"/>
        </w:rPr>
        <w:t>附新的</w:t>
      </w:r>
      <w:proofErr w:type="gramEnd"/>
      <w:r>
        <w:rPr>
          <w:rFonts w:ascii="仿宋_GB2312" w:eastAsia="仿宋_GB2312" w:hAnsi="仿宋_GB2312" w:cs="仿宋_GB2312"/>
          <w:spacing w:val="6"/>
          <w:sz w:val="32"/>
          <w:szCs w:val="32"/>
        </w:rPr>
        <w:t>划款指令授权书，</w:t>
      </w:r>
      <w:bookmarkEnd w:id="123"/>
      <w:r>
        <w:rPr>
          <w:rFonts w:ascii="仿宋_GB2312" w:eastAsia="仿宋_GB2312" w:hAnsi="仿宋_GB2312" w:cs="仿宋_GB2312"/>
          <w:spacing w:val="6"/>
          <w:sz w:val="32"/>
          <w:szCs w:val="32"/>
        </w:rPr>
        <w:t>并加盖管理人公章。变更通知应载明生效时间，授权变更于变更通知载明的生效时间生效。若变更通知载明的生效时</w:t>
      </w:r>
      <w:r>
        <w:rPr>
          <w:rFonts w:ascii="仿宋_GB2312" w:eastAsia="仿宋_GB2312" w:hAnsi="仿宋_GB2312" w:cs="仿宋_GB2312"/>
          <w:spacing w:val="6"/>
          <w:sz w:val="32"/>
          <w:szCs w:val="32"/>
        </w:rPr>
        <w:lastRenderedPageBreak/>
        <w:t>间早于托管人收到变更通知时间，则授权变更于托管人收到变更通知时生效。在新的划款指令授权书生效前，双方仍按原划款指令授权书执行。管理人应于</w:t>
      </w:r>
      <w:r>
        <w:rPr>
          <w:rFonts w:ascii="仿宋_GB2312" w:eastAsia="仿宋_GB2312" w:hAnsi="仿宋_GB2312" w:cs="仿宋_GB2312"/>
          <w:spacing w:val="6"/>
          <w:sz w:val="32"/>
          <w:szCs w:val="32"/>
        </w:rPr>
        <w:t>5</w:t>
      </w:r>
      <w:r>
        <w:rPr>
          <w:rFonts w:ascii="仿宋_GB2312" w:eastAsia="仿宋_GB2312" w:hAnsi="仿宋_GB2312" w:cs="仿宋_GB2312"/>
          <w:spacing w:val="6"/>
          <w:sz w:val="32"/>
          <w:szCs w:val="32"/>
        </w:rPr>
        <w:t>个工作日内将变更通知的正本送交托管人，</w:t>
      </w:r>
      <w:r>
        <w:rPr>
          <w:rFonts w:ascii="仿宋_GB2312" w:eastAsia="仿宋_GB2312" w:hAnsi="仿宋_GB2312" w:cs="仿宋_GB2312"/>
          <w:color w:val="000000"/>
          <w:sz w:val="32"/>
          <w:szCs w:val="32"/>
          <w:lang w:val="zh-CN"/>
        </w:rPr>
        <w:t>若正本与之前发送的变更通知</w:t>
      </w:r>
      <w:bookmarkStart w:id="124" w:name="OLE_LINK210"/>
      <w:r>
        <w:rPr>
          <w:rFonts w:ascii="仿宋_GB2312" w:eastAsia="仿宋_GB2312" w:hAnsi="仿宋_GB2312" w:cs="仿宋_GB2312"/>
          <w:color w:val="000000"/>
          <w:sz w:val="32"/>
          <w:szCs w:val="32"/>
        </w:rPr>
        <w:t>的</w:t>
      </w:r>
      <w:r>
        <w:rPr>
          <w:rFonts w:ascii="仿宋_GB2312" w:eastAsia="仿宋_GB2312" w:hAnsi="仿宋_GB2312" w:cs="仿宋_GB2312"/>
          <w:color w:val="000000"/>
          <w:sz w:val="32"/>
          <w:szCs w:val="32"/>
          <w:lang w:val="zh-CN"/>
        </w:rPr>
        <w:t>副本</w:t>
      </w:r>
      <w:bookmarkEnd w:id="124"/>
      <w:r>
        <w:rPr>
          <w:rFonts w:ascii="仿宋_GB2312" w:eastAsia="仿宋_GB2312" w:hAnsi="仿宋_GB2312" w:cs="仿宋_GB2312"/>
          <w:color w:val="000000"/>
          <w:sz w:val="32"/>
          <w:szCs w:val="32"/>
          <w:lang w:val="zh-CN"/>
        </w:rPr>
        <w:t>不一致，以副本为准。</w:t>
      </w:r>
    </w:p>
    <w:p w:rsidR="0081436D" w:rsidRDefault="00BD165F" w:rsidP="005D01BD">
      <w:pPr>
        <w:pStyle w:val="210"/>
        <w:widowControl w:val="0"/>
        <w:spacing w:line="590" w:lineRule="exact"/>
        <w:ind w:firstLineChars="200" w:firstLine="652"/>
        <w:jc w:val="both"/>
        <w:outlineLvl w:val="9"/>
        <w:rPr>
          <w:rFonts w:ascii="仿宋_GB2312" w:eastAsia="仿宋_GB2312" w:hAnsi="仿宋_GB2312" w:cs="仿宋_GB2312"/>
          <w:bCs/>
          <w:spacing w:val="6"/>
          <w:sz w:val="32"/>
          <w:szCs w:val="32"/>
        </w:rPr>
      </w:pPr>
      <w:r>
        <w:rPr>
          <w:rFonts w:ascii="仿宋_GB2312" w:eastAsia="仿宋_GB2312" w:hAnsi="仿宋_GB2312" w:cs="仿宋_GB2312"/>
          <w:bCs/>
          <w:spacing w:val="6"/>
          <w:sz w:val="32"/>
          <w:szCs w:val="32"/>
        </w:rPr>
        <w:t>管理人和托管人对划款指令授权书负有保密义务，其内容不得向授权人、被授权人及相关操作人员以外的任何人泄露，但法律法规规定或有权机关另有要求的除外。</w:t>
      </w:r>
    </w:p>
    <w:p w:rsidR="0081436D" w:rsidRDefault="00BD165F" w:rsidP="005D01BD">
      <w:pPr>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spacing w:val="6"/>
          <w:sz w:val="32"/>
          <w:szCs w:val="32"/>
        </w:rPr>
        <w:t>（三）指令的发送、确认和执行</w:t>
      </w:r>
    </w:p>
    <w:p w:rsidR="0081436D" w:rsidRDefault="00BD165F" w:rsidP="005D01BD">
      <w:pPr>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spacing w:val="6"/>
          <w:sz w:val="32"/>
          <w:szCs w:val="32"/>
        </w:rPr>
        <w:t>指令由划款指令授权书确定的有权发送人（下称</w:t>
      </w:r>
      <w:r>
        <w:rPr>
          <w:rFonts w:ascii="仿宋_GB2312" w:eastAsia="仿宋_GB2312" w:hAnsi="仿宋_GB2312" w:cs="仿宋_GB2312"/>
          <w:spacing w:val="6"/>
          <w:sz w:val="32"/>
          <w:szCs w:val="32"/>
        </w:rPr>
        <w:t>“</w:t>
      </w:r>
      <w:r>
        <w:rPr>
          <w:rFonts w:ascii="仿宋_GB2312" w:eastAsia="仿宋_GB2312" w:hAnsi="仿宋_GB2312" w:cs="仿宋_GB2312"/>
          <w:spacing w:val="6"/>
          <w:sz w:val="32"/>
          <w:szCs w:val="32"/>
        </w:rPr>
        <w:t>被授权人</w:t>
      </w:r>
      <w:r>
        <w:rPr>
          <w:rFonts w:ascii="仿宋_GB2312" w:eastAsia="仿宋_GB2312" w:hAnsi="仿宋_GB2312" w:cs="仿宋_GB2312"/>
          <w:spacing w:val="6"/>
          <w:sz w:val="32"/>
          <w:szCs w:val="32"/>
        </w:rPr>
        <w:t>”</w:t>
      </w:r>
      <w:r>
        <w:rPr>
          <w:rFonts w:ascii="仿宋_GB2312" w:eastAsia="仿宋_GB2312" w:hAnsi="仿宋_GB2312" w:cs="仿宋_GB2312"/>
          <w:spacing w:val="6"/>
          <w:sz w:val="32"/>
          <w:szCs w:val="32"/>
        </w:rPr>
        <w:t>）代表管理人用电子直连划款指令或者电子邮件等双方约定的方式向托管人发送，并在指令发送后及时与托管人进行电话确认。管理人对相关成交合同、</w:t>
      </w:r>
      <w:r>
        <w:rPr>
          <w:rFonts w:ascii="仿宋_GB2312" w:eastAsia="仿宋_GB2312" w:hAnsi="仿宋_GB2312" w:cs="仿宋_GB2312"/>
          <w:sz w:val="32"/>
          <w:szCs w:val="32"/>
        </w:rPr>
        <w:t>其他交易证明文件等</w:t>
      </w:r>
      <w:r>
        <w:rPr>
          <w:rFonts w:ascii="仿宋_GB2312" w:eastAsia="仿宋_GB2312" w:hAnsi="仿宋_GB2312" w:cs="仿宋_GB2312"/>
          <w:spacing w:val="6"/>
          <w:sz w:val="32"/>
          <w:szCs w:val="32"/>
        </w:rPr>
        <w:t>文件的真实性、有效性、完整性负责。管理人及其被授权人向托管人出具购买券商或者基金公司</w:t>
      </w:r>
      <w:proofErr w:type="gramStart"/>
      <w:r>
        <w:rPr>
          <w:rFonts w:ascii="仿宋_GB2312" w:eastAsia="仿宋_GB2312" w:hAnsi="仿宋_GB2312" w:cs="仿宋_GB2312"/>
          <w:spacing w:val="6"/>
          <w:sz w:val="32"/>
          <w:szCs w:val="32"/>
        </w:rPr>
        <w:t>的资管计划</w:t>
      </w:r>
      <w:proofErr w:type="gramEnd"/>
      <w:r>
        <w:rPr>
          <w:rFonts w:ascii="仿宋_GB2312" w:eastAsia="仿宋_GB2312" w:hAnsi="仿宋_GB2312" w:cs="仿宋_GB2312"/>
          <w:spacing w:val="6"/>
          <w:sz w:val="32"/>
          <w:szCs w:val="32"/>
        </w:rPr>
        <w:t>、申购</w:t>
      </w:r>
      <w:r>
        <w:rPr>
          <w:rFonts w:ascii="仿宋_GB2312" w:eastAsia="仿宋_GB2312" w:hAnsi="仿宋_GB2312" w:cs="仿宋_GB2312"/>
          <w:spacing w:val="6"/>
          <w:sz w:val="32"/>
          <w:szCs w:val="32"/>
        </w:rPr>
        <w:t>/</w:t>
      </w:r>
      <w:r>
        <w:rPr>
          <w:rFonts w:ascii="仿宋_GB2312" w:eastAsia="仿宋_GB2312" w:hAnsi="仿宋_GB2312" w:cs="仿宋_GB2312"/>
          <w:spacing w:val="6"/>
          <w:sz w:val="32"/>
          <w:szCs w:val="32"/>
        </w:rPr>
        <w:t>认购开放式基金或投资私募基金</w:t>
      </w:r>
      <w:r>
        <w:rPr>
          <w:rFonts w:ascii="仿宋_GB2312" w:eastAsia="仿宋_GB2312" w:hAnsi="仿宋_GB2312" w:cs="仿宋_GB2312"/>
          <w:spacing w:val="6"/>
          <w:sz w:val="32"/>
          <w:szCs w:val="32"/>
        </w:rPr>
        <w:t>的划款指令时，管理人可授权代销机构或线上直销机构向托管人发送申购</w:t>
      </w:r>
      <w:r>
        <w:rPr>
          <w:rFonts w:ascii="仿宋_GB2312" w:eastAsia="仿宋_GB2312" w:hAnsi="仿宋_GB2312" w:cs="仿宋_GB2312"/>
          <w:spacing w:val="6"/>
          <w:sz w:val="32"/>
          <w:szCs w:val="32"/>
        </w:rPr>
        <w:t>/</w:t>
      </w:r>
      <w:r>
        <w:rPr>
          <w:rFonts w:ascii="仿宋_GB2312" w:eastAsia="仿宋_GB2312" w:hAnsi="仿宋_GB2312" w:cs="仿宋_GB2312"/>
          <w:spacing w:val="6"/>
          <w:sz w:val="32"/>
          <w:szCs w:val="32"/>
        </w:rPr>
        <w:t>认购、赎回等申请单、确认单。托管人仅就成交合同或其他交易证明文件是否与划款指令表面相符进行审核。上述成交合同是指和交易对手签署的成交单或者成交协议。</w:t>
      </w:r>
    </w:p>
    <w:p w:rsidR="0081436D" w:rsidRDefault="00BD165F" w:rsidP="005D01BD">
      <w:pPr>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spacing w:val="6"/>
          <w:sz w:val="32"/>
          <w:szCs w:val="32"/>
        </w:rPr>
        <w:t>在应急情况下，管理人可以传真发送划款指令或者快递、现场交互原件指令。</w:t>
      </w:r>
    </w:p>
    <w:p w:rsidR="0081436D" w:rsidRDefault="00BD165F" w:rsidP="005D01BD">
      <w:pPr>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spacing w:val="6"/>
          <w:sz w:val="32"/>
          <w:szCs w:val="32"/>
        </w:rPr>
        <w:t>托管人收到管理人的划款指令和</w:t>
      </w:r>
      <w:bookmarkStart w:id="125" w:name="OLE_LINK20"/>
      <w:r>
        <w:rPr>
          <w:rFonts w:ascii="仿宋_GB2312" w:eastAsia="仿宋_GB2312" w:hAnsi="仿宋_GB2312" w:cs="仿宋_GB2312"/>
          <w:spacing w:val="6"/>
          <w:sz w:val="32"/>
          <w:szCs w:val="32"/>
        </w:rPr>
        <w:t>成交合同</w:t>
      </w:r>
      <w:bookmarkEnd w:id="125"/>
      <w:r>
        <w:rPr>
          <w:rFonts w:ascii="仿宋_GB2312" w:eastAsia="仿宋_GB2312" w:hAnsi="仿宋_GB2312" w:cs="仿宋_GB2312"/>
          <w:spacing w:val="6"/>
          <w:sz w:val="32"/>
          <w:szCs w:val="32"/>
        </w:rPr>
        <w:t>或</w:t>
      </w:r>
      <w:bookmarkStart w:id="126" w:name="OLE_LINK21"/>
      <w:r>
        <w:rPr>
          <w:rFonts w:ascii="仿宋_GB2312" w:eastAsia="仿宋_GB2312" w:hAnsi="仿宋_GB2312" w:cs="仿宋_GB2312"/>
          <w:spacing w:val="6"/>
          <w:sz w:val="32"/>
          <w:szCs w:val="32"/>
        </w:rPr>
        <w:t>其他</w:t>
      </w:r>
      <w:bookmarkEnd w:id="126"/>
      <w:r>
        <w:rPr>
          <w:rFonts w:ascii="仿宋_GB2312" w:eastAsia="仿宋_GB2312" w:hAnsi="仿宋_GB2312" w:cs="仿宋_GB2312"/>
          <w:spacing w:val="6"/>
          <w:sz w:val="32"/>
          <w:szCs w:val="32"/>
        </w:rPr>
        <w:t>交易</w:t>
      </w:r>
      <w:r>
        <w:rPr>
          <w:rFonts w:ascii="仿宋_GB2312" w:eastAsia="仿宋_GB2312" w:hAnsi="仿宋_GB2312" w:cs="仿宋_GB2312"/>
          <w:spacing w:val="6"/>
          <w:sz w:val="32"/>
          <w:szCs w:val="32"/>
        </w:rPr>
        <w:lastRenderedPageBreak/>
        <w:t>证明文件（如有）后，应对指令进行表面审核，若该指令不违反本协议约定，则予执行。</w:t>
      </w:r>
    </w:p>
    <w:p w:rsidR="0081436D" w:rsidRDefault="00BD165F" w:rsidP="005D01BD">
      <w:pPr>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如果托管人合理怀疑一项指令的要素、内容、授权、来源或指令不符合任何安全程序，或者如果托管人</w:t>
      </w:r>
      <w:proofErr w:type="gramStart"/>
      <w:r>
        <w:rPr>
          <w:rFonts w:ascii="仿宋_GB2312" w:eastAsia="仿宋_GB2312" w:hAnsi="仿宋_GB2312" w:cs="仿宋_GB2312" w:hint="eastAsia"/>
          <w:spacing w:val="6"/>
          <w:sz w:val="32"/>
          <w:szCs w:val="32"/>
        </w:rPr>
        <w:t>合理认为</w:t>
      </w:r>
      <w:proofErr w:type="gramEnd"/>
      <w:r>
        <w:rPr>
          <w:rFonts w:ascii="仿宋_GB2312" w:eastAsia="仿宋_GB2312" w:hAnsi="仿宋_GB2312" w:cs="仿宋_GB2312" w:hint="eastAsia"/>
          <w:spacing w:val="6"/>
          <w:sz w:val="32"/>
          <w:szCs w:val="32"/>
        </w:rPr>
        <w:t>一</w:t>
      </w:r>
      <w:r>
        <w:rPr>
          <w:rFonts w:ascii="仿宋_GB2312" w:eastAsia="仿宋_GB2312" w:hAnsi="仿宋_GB2312" w:cs="仿宋_GB2312" w:hint="eastAsia"/>
          <w:spacing w:val="6"/>
          <w:sz w:val="32"/>
          <w:szCs w:val="32"/>
        </w:rPr>
        <w:t>项指令含有的信息不足够，托管人应立即通知管理人进行补正，管理人未能及时补正的，托管人可以决定不依该指令行事且不承担任何责任。</w:t>
      </w:r>
    </w:p>
    <w:p w:rsidR="0081436D" w:rsidRDefault="00BD165F" w:rsidP="005D01BD">
      <w:pPr>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对超出托管账户资金余额的划款指令托管人可以拒绝执行，并应及时通知管理人，由管理人补齐资金头寸后，托管人继续执行。若管理人需作废划款指令，需通过邮件或双方认可的方式向托管人发送说明，确认指令作废后，由托管人作废划款指令。</w:t>
      </w:r>
    </w:p>
    <w:p w:rsidR="0081436D" w:rsidRDefault="00BD165F" w:rsidP="005D01BD">
      <w:pPr>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spacing w:val="6"/>
          <w:sz w:val="32"/>
          <w:szCs w:val="32"/>
        </w:rPr>
        <w:t>理财产品资金汇划常规方式为托管系统清算划款方式，在常规方式发生故障的应急情况下，采用应急处理方式。</w:t>
      </w:r>
      <w:r>
        <w:rPr>
          <w:rFonts w:ascii="仿宋_GB2312" w:eastAsia="仿宋_GB2312" w:hAnsi="仿宋_GB2312" w:cs="仿宋_GB2312"/>
          <w:spacing w:val="6"/>
          <w:sz w:val="32"/>
          <w:szCs w:val="32"/>
        </w:rPr>
        <w:t xml:space="preserve">  </w:t>
      </w:r>
    </w:p>
    <w:p w:rsidR="0081436D" w:rsidRDefault="00BD165F" w:rsidP="005D01BD">
      <w:pPr>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spacing w:val="6"/>
          <w:sz w:val="32"/>
          <w:szCs w:val="32"/>
        </w:rPr>
        <w:t>划款指令原件应由管理人保管，托管人保管复印件，当两者不一致时，</w:t>
      </w:r>
      <w:r>
        <w:rPr>
          <w:rFonts w:ascii="仿宋_GB2312" w:eastAsia="仿宋_GB2312" w:hAnsi="仿宋_GB2312" w:cs="仿宋_GB2312"/>
          <w:spacing w:val="6"/>
          <w:sz w:val="32"/>
          <w:szCs w:val="32"/>
        </w:rPr>
        <w:t>以托管人收到的复印件为准。</w:t>
      </w:r>
    </w:p>
    <w:p w:rsidR="0081436D" w:rsidRDefault="00BD165F" w:rsidP="005D01BD">
      <w:pPr>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spacing w:val="6"/>
          <w:sz w:val="32"/>
          <w:szCs w:val="32"/>
        </w:rPr>
        <w:t>管理人应为托管人执行划款指令留出合理必要时间，</w:t>
      </w:r>
      <w:r>
        <w:rPr>
          <w:rFonts w:ascii="仿宋_GB2312" w:eastAsia="仿宋_GB2312" w:hAnsi="仿宋_GB2312" w:cs="仿宋_GB2312" w:hint="eastAsia"/>
          <w:spacing w:val="6"/>
          <w:sz w:val="32"/>
          <w:szCs w:val="32"/>
        </w:rPr>
        <w:t>划款指令应在当日</w:t>
      </w:r>
      <w:r>
        <w:rPr>
          <w:rFonts w:ascii="仿宋_GB2312" w:eastAsia="仿宋_GB2312" w:hAnsi="仿宋_GB2312" w:cs="仿宋_GB2312"/>
          <w:spacing w:val="6"/>
          <w:sz w:val="32"/>
          <w:szCs w:val="32"/>
        </w:rPr>
        <w:t>15:30</w:t>
      </w:r>
      <w:r>
        <w:rPr>
          <w:rFonts w:ascii="仿宋_GB2312" w:eastAsia="仿宋_GB2312" w:hAnsi="仿宋_GB2312" w:cs="仿宋_GB2312"/>
          <w:spacing w:val="6"/>
          <w:sz w:val="32"/>
          <w:szCs w:val="32"/>
        </w:rPr>
        <w:t>前发送至托管人，超时发送的指令托管人会尽最大努力办理</w:t>
      </w:r>
      <w:proofErr w:type="gramStart"/>
      <w:r>
        <w:rPr>
          <w:rFonts w:ascii="仿宋_GB2312" w:eastAsia="仿宋_GB2312" w:hAnsi="仿宋_GB2312" w:cs="仿宋_GB2312"/>
          <w:spacing w:val="6"/>
          <w:sz w:val="32"/>
          <w:szCs w:val="32"/>
        </w:rPr>
        <w:t>划款但</w:t>
      </w:r>
      <w:proofErr w:type="gramEnd"/>
      <w:r>
        <w:rPr>
          <w:rFonts w:ascii="仿宋_GB2312" w:eastAsia="仿宋_GB2312" w:hAnsi="仿宋_GB2312" w:cs="仿宋_GB2312"/>
          <w:spacing w:val="6"/>
          <w:sz w:val="32"/>
          <w:szCs w:val="32"/>
        </w:rPr>
        <w:t>不保证当天一定划款成功。其中银证转账指令</w:t>
      </w:r>
      <w:proofErr w:type="gramStart"/>
      <w:r>
        <w:rPr>
          <w:rFonts w:ascii="仿宋_GB2312" w:eastAsia="仿宋_GB2312" w:hAnsi="仿宋_GB2312" w:cs="仿宋_GB2312"/>
          <w:spacing w:val="6"/>
          <w:sz w:val="32"/>
          <w:szCs w:val="32"/>
        </w:rPr>
        <w:t>的发送的发送</w:t>
      </w:r>
      <w:proofErr w:type="gramEnd"/>
      <w:r>
        <w:rPr>
          <w:rFonts w:ascii="仿宋_GB2312" w:eastAsia="仿宋_GB2312" w:hAnsi="仿宋_GB2312" w:cs="仿宋_GB2312"/>
          <w:spacing w:val="6"/>
          <w:sz w:val="32"/>
          <w:szCs w:val="32"/>
        </w:rPr>
        <w:t>截止时点为当日</w:t>
      </w:r>
      <w:r>
        <w:rPr>
          <w:rFonts w:ascii="仿宋_GB2312" w:eastAsia="仿宋_GB2312" w:hAnsi="仿宋_GB2312" w:cs="仿宋_GB2312"/>
          <w:spacing w:val="6"/>
          <w:sz w:val="32"/>
          <w:szCs w:val="32"/>
        </w:rPr>
        <w:t>14:00</w:t>
      </w:r>
      <w:r>
        <w:rPr>
          <w:rFonts w:ascii="仿宋_GB2312" w:eastAsia="仿宋_GB2312" w:hAnsi="仿宋_GB2312" w:cs="仿宋_GB2312"/>
          <w:spacing w:val="6"/>
          <w:sz w:val="32"/>
          <w:szCs w:val="32"/>
        </w:rPr>
        <w:t>，对于有指定到账时点的划款指令，管理人必须至少提前</w:t>
      </w:r>
      <w:r>
        <w:rPr>
          <w:rFonts w:ascii="仿宋_GB2312" w:eastAsia="仿宋_GB2312" w:hAnsi="仿宋_GB2312" w:cs="仿宋_GB2312"/>
          <w:spacing w:val="6"/>
          <w:sz w:val="32"/>
          <w:szCs w:val="32"/>
        </w:rPr>
        <w:t>2</w:t>
      </w:r>
      <w:r>
        <w:rPr>
          <w:rFonts w:ascii="仿宋_GB2312" w:eastAsia="仿宋_GB2312" w:hAnsi="仿宋_GB2312" w:cs="仿宋_GB2312"/>
          <w:spacing w:val="6"/>
          <w:sz w:val="32"/>
          <w:szCs w:val="32"/>
        </w:rPr>
        <w:t>个工作小时向托管人发送付款指令并与托管人电话确认，并保障资金托管账户头寸充足，如托管人收到划</w:t>
      </w:r>
      <w:r>
        <w:rPr>
          <w:rFonts w:ascii="仿宋_GB2312" w:eastAsia="仿宋_GB2312" w:hAnsi="仿宋_GB2312" w:cs="仿宋_GB2312"/>
          <w:spacing w:val="6"/>
          <w:sz w:val="32"/>
          <w:szCs w:val="32"/>
        </w:rPr>
        <w:lastRenderedPageBreak/>
        <w:t>款指令（包括对以前的指令进行修改或撤回的情况）的时间与划款指令中要求的到账时间之间小于</w:t>
      </w:r>
      <w:r>
        <w:rPr>
          <w:rFonts w:ascii="仿宋_GB2312" w:eastAsia="仿宋_GB2312" w:hAnsi="仿宋_GB2312" w:cs="仿宋_GB2312"/>
          <w:spacing w:val="6"/>
          <w:sz w:val="32"/>
          <w:szCs w:val="32"/>
        </w:rPr>
        <w:t>2</w:t>
      </w:r>
      <w:r>
        <w:rPr>
          <w:rFonts w:ascii="仿宋_GB2312" w:eastAsia="仿宋_GB2312" w:hAnsi="仿宋_GB2312" w:cs="仿宋_GB2312"/>
          <w:spacing w:val="6"/>
          <w:sz w:val="32"/>
          <w:szCs w:val="32"/>
        </w:rPr>
        <w:t>个工作</w:t>
      </w:r>
      <w:r>
        <w:rPr>
          <w:rFonts w:ascii="仿宋_GB2312" w:eastAsia="仿宋_GB2312" w:hAnsi="仿宋_GB2312" w:cs="仿宋_GB2312"/>
          <w:spacing w:val="6"/>
          <w:sz w:val="32"/>
          <w:szCs w:val="32"/>
        </w:rPr>
        <w:t>小时的，托管人应尽力在指定时间内完成资金划拨，但不保证资金划拨成功，由于指令执行时间小于</w:t>
      </w:r>
      <w:r>
        <w:rPr>
          <w:rFonts w:ascii="仿宋_GB2312" w:eastAsia="仿宋_GB2312" w:hAnsi="仿宋_GB2312" w:cs="仿宋_GB2312"/>
          <w:spacing w:val="6"/>
          <w:sz w:val="32"/>
          <w:szCs w:val="32"/>
        </w:rPr>
        <w:t>2</w:t>
      </w:r>
      <w:r>
        <w:rPr>
          <w:rFonts w:ascii="仿宋_GB2312" w:eastAsia="仿宋_GB2312" w:hAnsi="仿宋_GB2312" w:cs="仿宋_GB2312"/>
          <w:spacing w:val="6"/>
          <w:sz w:val="32"/>
          <w:szCs w:val="32"/>
        </w:rPr>
        <w:t>个工作小时导致资金未能及时到账所造成的损失由管理人承担。</w:t>
      </w:r>
    </w:p>
    <w:p w:rsidR="0081436D" w:rsidRDefault="00BD165F" w:rsidP="005D01BD">
      <w:pPr>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管理人和托管人应根据理财产品特点，共同商定理财产品的清算交割安排。</w:t>
      </w:r>
    </w:p>
    <w:p w:rsidR="0081436D" w:rsidRDefault="00BD165F" w:rsidP="005D01BD">
      <w:pPr>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管理人应当在相关市场允许的时</w:t>
      </w:r>
      <w:proofErr w:type="gramStart"/>
      <w:r>
        <w:rPr>
          <w:rFonts w:ascii="仿宋_GB2312" w:eastAsia="仿宋_GB2312" w:hAnsi="仿宋_GB2312" w:cs="仿宋_GB2312" w:hint="eastAsia"/>
          <w:spacing w:val="6"/>
          <w:sz w:val="32"/>
          <w:szCs w:val="32"/>
        </w:rPr>
        <w:t>间或与</w:t>
      </w:r>
      <w:proofErr w:type="gramEnd"/>
      <w:r>
        <w:rPr>
          <w:rFonts w:ascii="仿宋_GB2312" w:eastAsia="仿宋_GB2312" w:hAnsi="仿宋_GB2312" w:cs="仿宋_GB2312" w:hint="eastAsia"/>
          <w:spacing w:val="6"/>
          <w:sz w:val="32"/>
          <w:szCs w:val="32"/>
        </w:rPr>
        <w:t>托管人事先约定的时间之前，向托管人发送资金调拨与清算的指令；并应保证在相关市场允许的时间和日期前银行托管账户具有充足的可以随时使用的资金进行交易和清算。</w:t>
      </w:r>
    </w:p>
    <w:p w:rsidR="0081436D" w:rsidRDefault="00BD165F" w:rsidP="005D01BD">
      <w:pPr>
        <w:widowControl w:val="0"/>
        <w:spacing w:line="590" w:lineRule="exact"/>
        <w:ind w:firstLineChars="200" w:firstLine="652"/>
        <w:jc w:val="both"/>
        <w:rPr>
          <w:rStyle w:val="af9"/>
          <w:rFonts w:ascii="仿宋_GB2312" w:eastAsia="仿宋_GB2312" w:hAnsi="仿宋_GB2312" w:cs="仿宋_GB2312"/>
          <w:spacing w:val="6"/>
          <w:sz w:val="32"/>
          <w:szCs w:val="32"/>
        </w:rPr>
      </w:pPr>
      <w:r>
        <w:rPr>
          <w:rFonts w:ascii="仿宋_GB2312" w:eastAsia="仿宋_GB2312" w:hAnsi="仿宋_GB2312" w:cs="仿宋_GB2312"/>
          <w:spacing w:val="6"/>
          <w:sz w:val="32"/>
          <w:szCs w:val="32"/>
        </w:rPr>
        <w:t>对于因没有充足资金致使管理人向托管人发出的指令未能及时清算所造成的损失，由管理人承担。因管理</w:t>
      </w:r>
      <w:proofErr w:type="gramStart"/>
      <w:r>
        <w:rPr>
          <w:rFonts w:ascii="仿宋_GB2312" w:eastAsia="仿宋_GB2312" w:hAnsi="仿宋_GB2312" w:cs="仿宋_GB2312"/>
          <w:spacing w:val="6"/>
          <w:sz w:val="32"/>
          <w:szCs w:val="32"/>
        </w:rPr>
        <w:t>人原因</w:t>
      </w:r>
      <w:proofErr w:type="gramEnd"/>
      <w:r>
        <w:rPr>
          <w:rFonts w:ascii="仿宋_GB2312" w:eastAsia="仿宋_GB2312" w:hAnsi="仿宋_GB2312" w:cs="仿宋_GB2312"/>
          <w:spacing w:val="6"/>
          <w:sz w:val="32"/>
          <w:szCs w:val="32"/>
        </w:rPr>
        <w:t>造成的传输</w:t>
      </w:r>
      <w:r>
        <w:rPr>
          <w:rFonts w:ascii="仿宋_GB2312" w:eastAsia="仿宋_GB2312" w:hAnsi="仿宋_GB2312" w:cs="仿宋_GB2312"/>
          <w:spacing w:val="6"/>
          <w:sz w:val="32"/>
          <w:szCs w:val="32"/>
        </w:rPr>
        <w:t>不及时、未能留出足够执行时间、未能及时与托管人进行指令确认致使资金未能及时清算或交易失败所造成的损失由管理人承担。托管人正确执行管理人发送的有效指令，委托财产发生损失的，托管人不承担任何形式的责任。在正常业务受理渠道和指令规定的时间内，因托管人过错造成未能及时或正确执行合法合</w:t>
      </w:r>
      <w:proofErr w:type="gramStart"/>
      <w:r>
        <w:rPr>
          <w:rFonts w:ascii="仿宋_GB2312" w:eastAsia="仿宋_GB2312" w:hAnsi="仿宋_GB2312" w:cs="仿宋_GB2312"/>
          <w:spacing w:val="6"/>
          <w:sz w:val="32"/>
          <w:szCs w:val="32"/>
        </w:rPr>
        <w:t>规</w:t>
      </w:r>
      <w:proofErr w:type="gramEnd"/>
      <w:r>
        <w:rPr>
          <w:rFonts w:ascii="仿宋_GB2312" w:eastAsia="仿宋_GB2312" w:hAnsi="仿宋_GB2312" w:cs="仿宋_GB2312"/>
          <w:spacing w:val="6"/>
          <w:sz w:val="32"/>
          <w:szCs w:val="32"/>
        </w:rPr>
        <w:t>的指令而导致委托财产受损的，托管人应承担相应的责任，但如遇到不可抗力的情况除外。托管人根据本协议相关规定履行印鉴和签名的表面</w:t>
      </w:r>
      <w:r>
        <w:rPr>
          <w:rFonts w:ascii="仿宋_GB2312" w:eastAsia="仿宋_GB2312" w:hAnsi="仿宋_GB2312" w:cs="仿宋_GB2312" w:hint="eastAsia"/>
          <w:spacing w:val="6"/>
          <w:sz w:val="32"/>
          <w:szCs w:val="32"/>
        </w:rPr>
        <w:t>相符</w:t>
      </w:r>
      <w:proofErr w:type="gramStart"/>
      <w:r>
        <w:rPr>
          <w:rFonts w:ascii="仿宋_GB2312" w:eastAsia="仿宋_GB2312" w:hAnsi="仿宋_GB2312" w:cs="仿宋_GB2312" w:hint="eastAsia"/>
          <w:spacing w:val="6"/>
          <w:sz w:val="32"/>
          <w:szCs w:val="32"/>
        </w:rPr>
        <w:t>性</w:t>
      </w:r>
      <w:r>
        <w:rPr>
          <w:rFonts w:ascii="仿宋_GB2312" w:eastAsia="仿宋_GB2312" w:hAnsi="仿宋_GB2312" w:cs="仿宋_GB2312"/>
          <w:spacing w:val="6"/>
          <w:sz w:val="32"/>
          <w:szCs w:val="32"/>
        </w:rPr>
        <w:t>形式</w:t>
      </w:r>
      <w:proofErr w:type="gramEnd"/>
      <w:r>
        <w:rPr>
          <w:rFonts w:ascii="仿宋_GB2312" w:eastAsia="仿宋_GB2312" w:hAnsi="仿宋_GB2312" w:cs="仿宋_GB2312"/>
          <w:spacing w:val="6"/>
          <w:sz w:val="32"/>
          <w:szCs w:val="32"/>
        </w:rPr>
        <w:t>审核职责，如果管理人的指令存在事实上未经授权、欺诈、伪造或未能及时提供划款指</w:t>
      </w:r>
      <w:r>
        <w:rPr>
          <w:rFonts w:ascii="仿宋_GB2312" w:eastAsia="仿宋_GB2312" w:hAnsi="仿宋_GB2312" w:cs="仿宋_GB2312"/>
          <w:spacing w:val="6"/>
          <w:sz w:val="32"/>
          <w:szCs w:val="32"/>
        </w:rPr>
        <w:lastRenderedPageBreak/>
        <w:t>令授权书等情形，托管人不</w:t>
      </w:r>
      <w:r>
        <w:rPr>
          <w:rFonts w:ascii="仿宋_GB2312" w:eastAsia="仿宋_GB2312" w:hAnsi="仿宋_GB2312" w:cs="仿宋_GB2312"/>
          <w:spacing w:val="6"/>
          <w:sz w:val="32"/>
          <w:szCs w:val="32"/>
        </w:rPr>
        <w:t>承担因执行有关指令或拒绝执行有关指令而给管理人或理财产品财产或任何第三</w:t>
      </w:r>
      <w:proofErr w:type="gramStart"/>
      <w:r>
        <w:rPr>
          <w:rFonts w:ascii="仿宋_GB2312" w:eastAsia="仿宋_GB2312" w:hAnsi="仿宋_GB2312" w:cs="仿宋_GB2312"/>
          <w:spacing w:val="6"/>
          <w:sz w:val="32"/>
          <w:szCs w:val="32"/>
        </w:rPr>
        <w:t>方带来</w:t>
      </w:r>
      <w:proofErr w:type="gramEnd"/>
      <w:r>
        <w:rPr>
          <w:rFonts w:ascii="仿宋_GB2312" w:eastAsia="仿宋_GB2312" w:hAnsi="仿宋_GB2312" w:cs="仿宋_GB2312"/>
          <w:spacing w:val="6"/>
          <w:sz w:val="32"/>
          <w:szCs w:val="32"/>
        </w:rPr>
        <w:t>的损失，全部责任由管理人承担。</w:t>
      </w:r>
    </w:p>
    <w:p w:rsidR="0081436D" w:rsidRDefault="00BD165F" w:rsidP="005D01BD">
      <w:pPr>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spacing w:val="6"/>
          <w:sz w:val="32"/>
          <w:szCs w:val="32"/>
        </w:rPr>
        <w:t>托管人若只能事后发现管理人投资行为违反法律法规或本协议约定的，托管人在及时向管理人发送风险提示后，即视为履行了对管理人的投资监督职责。在尽到了投资监督义务后，对于管理人违反法律法规或本协议约定给理财产品财产造成的损失托管人免于承担责任。</w:t>
      </w:r>
    </w:p>
    <w:p w:rsidR="0081436D" w:rsidRDefault="00BD165F" w:rsidP="005D01BD">
      <w:pPr>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spacing w:val="6"/>
          <w:sz w:val="32"/>
          <w:szCs w:val="32"/>
        </w:rPr>
        <w:t>对于发送批量支付指令的，批量支付文件格式按照托管人要求编制。因管理人提供的批量支付电子版文件要素缺失、要素有误、与纸质版不符等问题</w:t>
      </w:r>
      <w:r>
        <w:rPr>
          <w:rFonts w:ascii="仿宋_GB2312" w:eastAsia="仿宋_GB2312" w:hAnsi="仿宋_GB2312" w:cs="仿宋_GB2312"/>
          <w:spacing w:val="6"/>
          <w:sz w:val="32"/>
          <w:szCs w:val="32"/>
        </w:rPr>
        <w:t>,</w:t>
      </w:r>
      <w:r>
        <w:rPr>
          <w:rFonts w:ascii="仿宋_GB2312" w:eastAsia="仿宋_GB2312" w:hAnsi="仿宋_GB2312" w:cs="仿宋_GB2312"/>
          <w:spacing w:val="6"/>
          <w:sz w:val="32"/>
          <w:szCs w:val="32"/>
        </w:rPr>
        <w:t>致使划款延误、失败或错误的，托管人</w:t>
      </w:r>
      <w:r>
        <w:rPr>
          <w:rFonts w:ascii="仿宋_GB2312" w:eastAsia="仿宋_GB2312" w:hAnsi="仿宋_GB2312" w:cs="仿宋_GB2312"/>
          <w:spacing w:val="6"/>
          <w:sz w:val="32"/>
          <w:szCs w:val="32"/>
        </w:rPr>
        <w:t>不承担责任。</w:t>
      </w:r>
    </w:p>
    <w:p w:rsidR="0081436D" w:rsidRDefault="0081436D" w:rsidP="005D01BD">
      <w:pPr>
        <w:widowControl w:val="0"/>
        <w:spacing w:line="590" w:lineRule="exact"/>
        <w:ind w:firstLineChars="200" w:firstLine="652"/>
        <w:jc w:val="both"/>
        <w:rPr>
          <w:rFonts w:ascii="仿宋_GB2312" w:eastAsia="仿宋_GB2312" w:hAnsi="仿宋_GB2312" w:cs="仿宋_GB2312"/>
          <w:spacing w:val="6"/>
          <w:sz w:val="32"/>
          <w:szCs w:val="32"/>
        </w:rPr>
      </w:pPr>
    </w:p>
    <w:p w:rsidR="0081436D" w:rsidRDefault="00BD165F">
      <w:pPr>
        <w:pStyle w:val="1"/>
        <w:tabs>
          <w:tab w:val="clear" w:pos="0"/>
          <w:tab w:val="clear" w:pos="5246"/>
        </w:tabs>
        <w:spacing w:before="0" w:line="590" w:lineRule="exact"/>
        <w:ind w:left="0"/>
        <w:jc w:val="center"/>
        <w:rPr>
          <w:rFonts w:ascii="仿宋_GB2312" w:eastAsia="仿宋_GB2312" w:hAnsi="仿宋_GB2312"/>
          <w:sz w:val="32"/>
          <w:szCs w:val="32"/>
        </w:rPr>
      </w:pPr>
      <w:bookmarkStart w:id="127" w:name="_Toc32502"/>
      <w:bookmarkStart w:id="128" w:name="_Toc1741"/>
      <w:bookmarkStart w:id="129" w:name="_Toc223"/>
      <w:bookmarkStart w:id="130" w:name="_Toc4663"/>
      <w:bookmarkStart w:id="131" w:name="_Toc14983"/>
      <w:bookmarkStart w:id="132" w:name="_Toc9801"/>
      <w:bookmarkStart w:id="133" w:name="_Toc1725"/>
      <w:bookmarkStart w:id="134" w:name="_Toc6132"/>
      <w:bookmarkStart w:id="135" w:name="_Toc31637"/>
      <w:bookmarkStart w:id="136" w:name="_Toc26585"/>
      <w:r>
        <w:rPr>
          <w:rFonts w:ascii="仿宋_GB2312" w:eastAsia="仿宋_GB2312" w:hAnsi="仿宋_GB2312"/>
          <w:sz w:val="32"/>
          <w:szCs w:val="32"/>
        </w:rPr>
        <w:t>交易及清算交收安排</w:t>
      </w:r>
      <w:bookmarkEnd w:id="127"/>
      <w:bookmarkEnd w:id="128"/>
      <w:bookmarkEnd w:id="129"/>
      <w:bookmarkEnd w:id="130"/>
      <w:bookmarkEnd w:id="131"/>
      <w:bookmarkEnd w:id="132"/>
      <w:bookmarkEnd w:id="133"/>
      <w:bookmarkEnd w:id="134"/>
      <w:bookmarkEnd w:id="135"/>
      <w:bookmarkEnd w:id="136"/>
    </w:p>
    <w:p w:rsidR="0081436D" w:rsidRDefault="00BD165F" w:rsidP="005D01BD">
      <w:pPr>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（一）选择代理证券买卖的证券经纪服务机构的程序</w:t>
      </w:r>
    </w:p>
    <w:p w:rsidR="0081436D" w:rsidRDefault="00BD165F" w:rsidP="005D01BD">
      <w:pPr>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管理人负责选择代理理财产品资产证券买卖的证券经纪服务机构，并与托管人、证券经纪服务机构签订证券经纪服务协议或操作备忘录。</w:t>
      </w:r>
    </w:p>
    <w:p w:rsidR="0081436D" w:rsidRDefault="00BD165F" w:rsidP="005D01BD">
      <w:pPr>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管理人应及时将佣金费率等基本信息以及变更情况以书面形式通知托管人。</w:t>
      </w:r>
    </w:p>
    <w:p w:rsidR="0081436D" w:rsidRDefault="00BD165F" w:rsidP="005D01BD">
      <w:pPr>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（二）交易数据发送和接收</w:t>
      </w:r>
    </w:p>
    <w:p w:rsidR="0081436D" w:rsidRDefault="00BD165F" w:rsidP="005D01BD">
      <w:pPr>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spacing w:val="6"/>
          <w:sz w:val="32"/>
          <w:szCs w:val="32"/>
        </w:rPr>
        <w:t>1.</w:t>
      </w:r>
      <w:r>
        <w:rPr>
          <w:rFonts w:ascii="仿宋_GB2312" w:eastAsia="仿宋_GB2312" w:hAnsi="仿宋_GB2312" w:cs="仿宋_GB2312" w:hint="eastAsia"/>
          <w:spacing w:val="6"/>
          <w:sz w:val="32"/>
          <w:szCs w:val="32"/>
        </w:rPr>
        <w:t>理财产品的交易数据传输具体操作按照管理人、托管人和证券经纪服务机构签署的证券经纪服务协议或操作</w:t>
      </w:r>
      <w:r>
        <w:rPr>
          <w:rFonts w:ascii="仿宋_GB2312" w:eastAsia="仿宋_GB2312" w:hAnsi="仿宋_GB2312" w:cs="仿宋_GB2312" w:hint="eastAsia"/>
          <w:spacing w:val="6"/>
          <w:sz w:val="32"/>
          <w:szCs w:val="32"/>
        </w:rPr>
        <w:lastRenderedPageBreak/>
        <w:t>备忘录的约定执行。</w:t>
      </w:r>
    </w:p>
    <w:p w:rsidR="0081436D" w:rsidRDefault="00BD165F" w:rsidP="005D01BD">
      <w:pPr>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spacing w:val="6"/>
          <w:sz w:val="32"/>
          <w:szCs w:val="32"/>
        </w:rPr>
        <w:t>2.</w:t>
      </w:r>
      <w:r>
        <w:rPr>
          <w:rFonts w:ascii="仿宋_GB2312" w:eastAsia="仿宋_GB2312" w:hAnsi="仿宋_GB2312" w:cs="仿宋_GB2312"/>
          <w:spacing w:val="6"/>
          <w:sz w:val="32"/>
          <w:szCs w:val="32"/>
        </w:rPr>
        <w:t>托管人每日根据收到的交易数据、清算数据和清算划款指令，进行账务处理。</w:t>
      </w:r>
    </w:p>
    <w:p w:rsidR="0081436D" w:rsidRDefault="00BD165F" w:rsidP="005D01BD">
      <w:pPr>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（三）清算交收安排</w:t>
      </w:r>
    </w:p>
    <w:p w:rsidR="0081436D" w:rsidRDefault="00BD165F" w:rsidP="005D01BD">
      <w:pPr>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spacing w:val="6"/>
          <w:sz w:val="32"/>
          <w:szCs w:val="32"/>
        </w:rPr>
        <w:t>1.</w:t>
      </w:r>
      <w:r>
        <w:rPr>
          <w:rFonts w:ascii="仿宋_GB2312" w:eastAsia="仿宋_GB2312" w:hAnsi="仿宋_GB2312" w:cs="仿宋_GB2312"/>
          <w:spacing w:val="6"/>
          <w:sz w:val="32"/>
          <w:szCs w:val="32"/>
        </w:rPr>
        <w:t>托管人、管理人应共同遵守中登公司制定的相关业务规则和规定，该等规则和规定自动成为本款规定的内容。</w:t>
      </w:r>
    </w:p>
    <w:p w:rsidR="0081436D" w:rsidRDefault="00BD165F" w:rsidP="005D01BD">
      <w:pPr>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spacing w:val="6"/>
          <w:sz w:val="32"/>
          <w:szCs w:val="32"/>
        </w:rPr>
        <w:t>2.</w:t>
      </w:r>
      <w:r>
        <w:rPr>
          <w:rFonts w:ascii="仿宋_GB2312" w:eastAsia="仿宋_GB2312" w:hAnsi="仿宋_GB2312" w:cs="仿宋_GB2312"/>
          <w:spacing w:val="6"/>
          <w:sz w:val="32"/>
          <w:szCs w:val="32"/>
        </w:rPr>
        <w:t>清算交收安排</w:t>
      </w:r>
    </w:p>
    <w:p w:rsidR="0081436D" w:rsidRDefault="00BD165F" w:rsidP="005D01BD">
      <w:pPr>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w:t>
      </w:r>
      <w:r>
        <w:rPr>
          <w:rFonts w:ascii="仿宋_GB2312" w:eastAsia="仿宋_GB2312" w:hAnsi="仿宋_GB2312" w:cs="仿宋_GB2312"/>
          <w:spacing w:val="6"/>
          <w:sz w:val="32"/>
          <w:szCs w:val="32"/>
        </w:rPr>
        <w:t>1</w:t>
      </w:r>
      <w:r>
        <w:rPr>
          <w:rFonts w:ascii="仿宋_GB2312" w:eastAsia="仿宋_GB2312" w:hAnsi="仿宋_GB2312" w:cs="仿宋_GB2312"/>
          <w:spacing w:val="6"/>
          <w:sz w:val="32"/>
          <w:szCs w:val="32"/>
        </w:rPr>
        <w:t>）</w:t>
      </w:r>
      <w:r>
        <w:rPr>
          <w:rFonts w:ascii="仿宋_GB2312" w:eastAsia="仿宋_GB2312" w:hAnsi="仿宋_GB2312" w:cs="仿宋_GB2312" w:hint="eastAsia"/>
          <w:spacing w:val="6"/>
          <w:sz w:val="32"/>
          <w:szCs w:val="32"/>
        </w:rPr>
        <w:t>理财产品所有场内证券交易的清算交割由管理人选择的证券营业部负责办理，由该证券经纪服务机构直接根据相关登记结算公司的结算规则办理。场内交易的资金划拨，由托管人根据管理人的银证转账指令进行划拨。</w:t>
      </w:r>
    </w:p>
    <w:p w:rsidR="0081436D" w:rsidRDefault="00BD165F" w:rsidP="005D01BD">
      <w:pPr>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委托财产托管账户向证券资金账户的资金划拨由托管人根据管理人的有效银证转账指令进行操作，托管人根据银证转账指令将资金划拨</w:t>
      </w:r>
      <w:proofErr w:type="gramStart"/>
      <w:r>
        <w:rPr>
          <w:rFonts w:ascii="仿宋_GB2312" w:eastAsia="仿宋_GB2312" w:hAnsi="仿宋_GB2312" w:cs="仿宋_GB2312" w:hint="eastAsia"/>
          <w:spacing w:val="6"/>
          <w:sz w:val="32"/>
          <w:szCs w:val="32"/>
        </w:rPr>
        <w:t>至证券</w:t>
      </w:r>
      <w:proofErr w:type="gramEnd"/>
      <w:r>
        <w:rPr>
          <w:rFonts w:ascii="仿宋_GB2312" w:eastAsia="仿宋_GB2312" w:hAnsi="仿宋_GB2312" w:cs="仿宋_GB2312" w:hint="eastAsia"/>
          <w:spacing w:val="6"/>
          <w:sz w:val="32"/>
          <w:szCs w:val="32"/>
        </w:rPr>
        <w:t>资金账户。</w:t>
      </w:r>
    </w:p>
    <w:p w:rsidR="0081436D" w:rsidRDefault="00BD165F" w:rsidP="005D01BD">
      <w:pPr>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w:t>
      </w:r>
      <w:r>
        <w:rPr>
          <w:rFonts w:ascii="仿宋_GB2312" w:eastAsia="仿宋_GB2312" w:hAnsi="仿宋_GB2312" w:cs="仿宋_GB2312"/>
          <w:spacing w:val="6"/>
          <w:sz w:val="32"/>
          <w:szCs w:val="32"/>
        </w:rPr>
        <w:t>2</w:t>
      </w:r>
      <w:r>
        <w:rPr>
          <w:rFonts w:ascii="仿宋_GB2312" w:eastAsia="仿宋_GB2312" w:hAnsi="仿宋_GB2312" w:cs="仿宋_GB2312"/>
          <w:spacing w:val="6"/>
          <w:sz w:val="32"/>
          <w:szCs w:val="32"/>
        </w:rPr>
        <w:t>）</w:t>
      </w:r>
      <w:r>
        <w:rPr>
          <w:rFonts w:ascii="仿宋_GB2312" w:eastAsia="仿宋_GB2312" w:hAnsi="仿宋_GB2312" w:cs="仿宋_GB2312" w:hint="eastAsia"/>
          <w:spacing w:val="6"/>
          <w:sz w:val="32"/>
          <w:szCs w:val="32"/>
        </w:rPr>
        <w:t>理财产品所有场外交易的资金清算，全部由托管人负责办理</w:t>
      </w:r>
      <w:r>
        <w:rPr>
          <w:rFonts w:ascii="仿宋_GB2312" w:eastAsia="仿宋_GB2312" w:hAnsi="仿宋_GB2312" w:cs="仿宋_GB2312" w:hint="eastAsia"/>
          <w:spacing w:val="6"/>
          <w:sz w:val="32"/>
          <w:szCs w:val="32"/>
        </w:rPr>
        <w:t>。</w:t>
      </w:r>
    </w:p>
    <w:p w:rsidR="0081436D" w:rsidRDefault="00BD165F" w:rsidP="005D01BD">
      <w:pPr>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spacing w:val="6"/>
          <w:sz w:val="32"/>
          <w:szCs w:val="32"/>
        </w:rPr>
        <w:t>3.</w:t>
      </w:r>
      <w:r>
        <w:rPr>
          <w:rFonts w:ascii="仿宋_GB2312" w:eastAsia="仿宋_GB2312" w:hAnsi="仿宋_GB2312" w:cs="仿宋_GB2312"/>
          <w:spacing w:val="6"/>
          <w:sz w:val="32"/>
          <w:szCs w:val="32"/>
        </w:rPr>
        <w:t>银行间债券券款对付结算</w:t>
      </w:r>
    </w:p>
    <w:p w:rsidR="0081436D" w:rsidRDefault="00BD165F" w:rsidP="005D01BD">
      <w:pPr>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托管资产投资于银行间债券市场采用券款对付结算模式。</w:t>
      </w:r>
    </w:p>
    <w:p w:rsidR="0081436D" w:rsidRDefault="00BD165F" w:rsidP="005D01BD">
      <w:pPr>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spacing w:val="6"/>
          <w:sz w:val="32"/>
          <w:szCs w:val="32"/>
        </w:rPr>
        <w:t>4.</w:t>
      </w:r>
      <w:r>
        <w:rPr>
          <w:rFonts w:ascii="仿宋_GB2312" w:eastAsia="仿宋_GB2312" w:hAnsi="仿宋_GB2312" w:cs="仿宋_GB2312"/>
          <w:spacing w:val="6"/>
          <w:sz w:val="32"/>
          <w:szCs w:val="32"/>
        </w:rPr>
        <w:t>结算方式</w:t>
      </w:r>
    </w:p>
    <w:p w:rsidR="0081436D" w:rsidRDefault="00BD165F" w:rsidP="005D01BD">
      <w:pPr>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支付</w:t>
      </w:r>
      <w:proofErr w:type="gramStart"/>
      <w:r>
        <w:rPr>
          <w:rFonts w:ascii="仿宋_GB2312" w:eastAsia="仿宋_GB2312" w:hAnsi="仿宋_GB2312" w:cs="仿宋_GB2312" w:hint="eastAsia"/>
          <w:spacing w:val="6"/>
          <w:sz w:val="32"/>
          <w:szCs w:val="32"/>
        </w:rPr>
        <w:t>结算按</w:t>
      </w:r>
      <w:proofErr w:type="gramEnd"/>
      <w:r>
        <w:rPr>
          <w:rFonts w:ascii="仿宋_GB2312" w:eastAsia="仿宋_GB2312" w:hAnsi="仿宋_GB2312" w:cs="仿宋_GB2312" w:hint="eastAsia"/>
          <w:spacing w:val="6"/>
          <w:sz w:val="32"/>
          <w:szCs w:val="32"/>
        </w:rPr>
        <w:t>中国人民银行、国家金融监督管理总局、中国证券登记结算有限公司的有关规定办理。</w:t>
      </w:r>
    </w:p>
    <w:p w:rsidR="0081436D" w:rsidRDefault="00BD165F" w:rsidP="005D01BD">
      <w:pPr>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spacing w:val="6"/>
          <w:sz w:val="32"/>
          <w:szCs w:val="32"/>
        </w:rPr>
        <w:t>5.</w:t>
      </w:r>
      <w:r>
        <w:rPr>
          <w:rFonts w:ascii="仿宋_GB2312" w:eastAsia="仿宋_GB2312" w:hAnsi="仿宋_GB2312" w:cs="仿宋_GB2312"/>
          <w:spacing w:val="6"/>
          <w:sz w:val="32"/>
          <w:szCs w:val="32"/>
        </w:rPr>
        <w:t>资金划拨</w:t>
      </w:r>
    </w:p>
    <w:p w:rsidR="0081436D" w:rsidRDefault="00BD165F" w:rsidP="005D01BD">
      <w:pPr>
        <w:widowControl w:val="0"/>
        <w:spacing w:line="590" w:lineRule="exact"/>
        <w:ind w:firstLineChars="200" w:firstLine="652"/>
        <w:jc w:val="both"/>
        <w:rPr>
          <w:rFonts w:ascii="仿宋_GB2312" w:eastAsia="仿宋_GB2312" w:hAnsi="仿宋_GB2312" w:cs="仿宋_GB2312"/>
          <w:strike/>
          <w:spacing w:val="6"/>
          <w:sz w:val="32"/>
          <w:szCs w:val="32"/>
        </w:rPr>
      </w:pPr>
      <w:r>
        <w:rPr>
          <w:rFonts w:ascii="仿宋_GB2312" w:eastAsia="仿宋_GB2312" w:hAnsi="仿宋_GB2312" w:cs="仿宋_GB2312" w:hint="eastAsia"/>
          <w:spacing w:val="6"/>
          <w:sz w:val="32"/>
          <w:szCs w:val="32"/>
        </w:rPr>
        <w:lastRenderedPageBreak/>
        <w:t>管理人的资金划拨指令，托管人在复核无误后应在规定期限内执行，不得延误。如管理人的资金划拨指令有违法、违规的，托管人应不予执行并立即通知管理人要求其变更或撤销相关指令。</w:t>
      </w:r>
    </w:p>
    <w:p w:rsidR="0081436D" w:rsidRDefault="00BD165F" w:rsidP="005D01BD">
      <w:pPr>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spacing w:val="6"/>
          <w:sz w:val="32"/>
          <w:szCs w:val="32"/>
        </w:rPr>
        <w:t>6.</w:t>
      </w:r>
      <w:r>
        <w:rPr>
          <w:rFonts w:ascii="仿宋_GB2312" w:eastAsia="仿宋_GB2312" w:hAnsi="仿宋_GB2312" w:cs="仿宋_GB2312"/>
          <w:spacing w:val="6"/>
          <w:sz w:val="32"/>
          <w:szCs w:val="32"/>
        </w:rPr>
        <w:t>开放式基金认购、申购、赎回的交易安排</w:t>
      </w:r>
    </w:p>
    <w:p w:rsidR="0081436D" w:rsidRDefault="00BD165F" w:rsidP="005D01BD">
      <w:pPr>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管理人与托管人在办理开放式基金认购、申购、赎回中的权利、义务、职责遵照有关法律法规规定执行。</w:t>
      </w:r>
    </w:p>
    <w:p w:rsidR="0081436D" w:rsidRDefault="00BD165F" w:rsidP="005D01BD">
      <w:pPr>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管理人申购（认购）开放式基金时，应将划款指令连同基金申购（认购）申请单通过电子邮件或授权基金销售机构通过电子邮件等约定的方式发送至托管人。托管人审核无误后，应及时将划款指令交付执行。管理人应及时向基金销售机构索取开放式基金申购（认购）确认单，并通过电子邮件或授权基金销售机构通过电子邮件等约定的方式发送至托管人，以作为双方进行会计核算的依据。</w:t>
      </w:r>
    </w:p>
    <w:p w:rsidR="0081436D" w:rsidRDefault="00BD165F" w:rsidP="005D01BD">
      <w:pPr>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管理人赎回开放式基金时，应同时向基金销售机构和托管人发出基金赎回申请书。管理人应及时向基金销售机构索取开放式基金赎回确认单</w:t>
      </w:r>
      <w:r>
        <w:rPr>
          <w:rFonts w:ascii="仿宋_GB2312" w:eastAsia="仿宋_GB2312" w:hAnsi="仿宋_GB2312" w:cs="仿宋_GB2312" w:hint="eastAsia"/>
          <w:spacing w:val="6"/>
          <w:sz w:val="32"/>
          <w:szCs w:val="32"/>
        </w:rPr>
        <w:t>,</w:t>
      </w:r>
      <w:r>
        <w:rPr>
          <w:rFonts w:ascii="仿宋_GB2312" w:eastAsia="仿宋_GB2312" w:hAnsi="仿宋_GB2312" w:cs="仿宋_GB2312" w:hint="eastAsia"/>
          <w:spacing w:val="6"/>
          <w:sz w:val="32"/>
          <w:szCs w:val="32"/>
        </w:rPr>
        <w:t>并通过电子邮件或授权基金销售机构通过电子邮件</w:t>
      </w:r>
      <w:r>
        <w:rPr>
          <w:rFonts w:ascii="仿宋_GB2312" w:eastAsia="仿宋_GB2312" w:hAnsi="仿宋_GB2312" w:cs="仿宋_GB2312" w:hint="eastAsia"/>
          <w:spacing w:val="6"/>
          <w:sz w:val="32"/>
          <w:szCs w:val="32"/>
        </w:rPr>
        <w:t>等约定的方式发送至托管人，以作为双方进行会计核算的依据。</w:t>
      </w:r>
    </w:p>
    <w:p w:rsidR="0081436D" w:rsidRDefault="00BD165F" w:rsidP="005D01BD">
      <w:pPr>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管理人应在开放式基金交易确认日、分红日、拆分日等权益</w:t>
      </w:r>
      <w:proofErr w:type="gramStart"/>
      <w:r>
        <w:rPr>
          <w:rFonts w:ascii="仿宋_GB2312" w:eastAsia="仿宋_GB2312" w:hAnsi="仿宋_GB2312" w:cs="仿宋_GB2312" w:hint="eastAsia"/>
          <w:spacing w:val="6"/>
          <w:sz w:val="32"/>
          <w:szCs w:val="32"/>
        </w:rPr>
        <w:t>变动日</w:t>
      </w:r>
      <w:proofErr w:type="gramEnd"/>
      <w:r>
        <w:rPr>
          <w:rFonts w:ascii="仿宋_GB2312" w:eastAsia="仿宋_GB2312" w:hAnsi="仿宋_GB2312" w:cs="仿宋_GB2312" w:hint="eastAsia"/>
          <w:spacing w:val="6"/>
          <w:sz w:val="32"/>
          <w:szCs w:val="32"/>
        </w:rPr>
        <w:t>当日将相关交易数据通过电子邮件或授权基金管理人及基金销售机构通过电子邮箱等约定的形式发送至托管人。</w:t>
      </w:r>
    </w:p>
    <w:p w:rsidR="0081436D" w:rsidRDefault="00BD165F" w:rsidP="005D01BD">
      <w:pPr>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lastRenderedPageBreak/>
        <w:t>7</w:t>
      </w:r>
      <w:r>
        <w:rPr>
          <w:rFonts w:ascii="仿宋_GB2312" w:eastAsia="仿宋_GB2312" w:hAnsi="仿宋_GB2312" w:cs="仿宋_GB2312"/>
          <w:spacing w:val="6"/>
          <w:sz w:val="32"/>
          <w:szCs w:val="32"/>
        </w:rPr>
        <w:t>.</w:t>
      </w:r>
      <w:r>
        <w:rPr>
          <w:rFonts w:ascii="仿宋_GB2312" w:eastAsia="仿宋_GB2312" w:hAnsi="仿宋_GB2312" w:cs="仿宋_GB2312"/>
          <w:spacing w:val="6"/>
          <w:sz w:val="32"/>
          <w:szCs w:val="32"/>
        </w:rPr>
        <w:t>投资银行存款的特别约定</w:t>
      </w:r>
    </w:p>
    <w:p w:rsidR="0081436D" w:rsidRDefault="00BD165F" w:rsidP="005D01BD">
      <w:pPr>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w:t>
      </w:r>
      <w:r>
        <w:rPr>
          <w:rFonts w:ascii="仿宋_GB2312" w:eastAsia="仿宋_GB2312" w:hAnsi="仿宋_GB2312" w:cs="仿宋_GB2312"/>
          <w:spacing w:val="6"/>
          <w:sz w:val="32"/>
          <w:szCs w:val="32"/>
        </w:rPr>
        <w:t>1</w:t>
      </w:r>
      <w:r>
        <w:rPr>
          <w:rFonts w:ascii="仿宋_GB2312" w:eastAsia="仿宋_GB2312" w:hAnsi="仿宋_GB2312" w:cs="仿宋_GB2312"/>
          <w:spacing w:val="6"/>
          <w:sz w:val="32"/>
          <w:szCs w:val="32"/>
        </w:rPr>
        <w:t>）管理人和托管人的职责</w:t>
      </w:r>
    </w:p>
    <w:p w:rsidR="0081436D" w:rsidRDefault="00BD165F" w:rsidP="005D01BD">
      <w:pPr>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管理人应当加强对理财产品投资银行存款风险的评估与研究，建立健全银行存款投资的业务流程、岗位职责、风险控制措施和监察稽核制度，严格测算与控制投资银行存款的风险敞口，针对不同类型存款银行建立相关投资限制制度，切实防范有关风险。由于管理人提前支取</w:t>
      </w:r>
      <w:r>
        <w:rPr>
          <w:rFonts w:ascii="仿宋_GB2312" w:eastAsia="仿宋_GB2312" w:hAnsi="仿宋_GB2312" w:cs="仿宋_GB2312" w:hint="eastAsia"/>
          <w:spacing w:val="6"/>
          <w:sz w:val="32"/>
          <w:szCs w:val="32"/>
        </w:rPr>
        <w:t>或部分提前支取存款投资导致的息差</w:t>
      </w:r>
      <w:r>
        <w:rPr>
          <w:rFonts w:ascii="仿宋_GB2312" w:eastAsia="仿宋_GB2312" w:hAnsi="仿宋_GB2312" w:cs="仿宋_GB2312"/>
          <w:spacing w:val="6"/>
          <w:sz w:val="32"/>
          <w:szCs w:val="32"/>
        </w:rPr>
        <w:t>(</w:t>
      </w:r>
      <w:r>
        <w:rPr>
          <w:rFonts w:ascii="仿宋_GB2312" w:eastAsia="仿宋_GB2312" w:hAnsi="仿宋_GB2312" w:cs="仿宋_GB2312"/>
          <w:spacing w:val="6"/>
          <w:sz w:val="32"/>
          <w:szCs w:val="32"/>
        </w:rPr>
        <w:t>即</w:t>
      </w:r>
      <w:r>
        <w:rPr>
          <w:rFonts w:ascii="仿宋_GB2312" w:eastAsia="仿宋_GB2312" w:hAnsi="仿宋_GB2312" w:cs="仿宋_GB2312" w:hint="eastAsia"/>
          <w:spacing w:val="6"/>
          <w:sz w:val="32"/>
          <w:szCs w:val="32"/>
        </w:rPr>
        <w:t>理财产品已计提的资金利息和提前支取时收到的资金利息差额</w:t>
      </w:r>
      <w:r>
        <w:rPr>
          <w:rFonts w:ascii="仿宋_GB2312" w:eastAsia="仿宋_GB2312" w:hAnsi="仿宋_GB2312" w:cs="仿宋_GB2312"/>
          <w:spacing w:val="6"/>
          <w:sz w:val="32"/>
          <w:szCs w:val="32"/>
        </w:rPr>
        <w:t>)</w:t>
      </w:r>
      <w:r>
        <w:rPr>
          <w:rFonts w:ascii="仿宋_GB2312" w:eastAsia="仿宋_GB2312" w:hAnsi="仿宋_GB2312" w:cs="仿宋_GB2312"/>
          <w:spacing w:val="6"/>
          <w:sz w:val="32"/>
          <w:szCs w:val="32"/>
        </w:rPr>
        <w:t>，管理人负责解决。</w:t>
      </w:r>
    </w:p>
    <w:p w:rsidR="0081436D" w:rsidRDefault="00BD165F" w:rsidP="005D01BD">
      <w:pPr>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托管人负责依据管理人提供的银行存款投资合同</w:t>
      </w:r>
      <w:r>
        <w:rPr>
          <w:rFonts w:ascii="仿宋_GB2312" w:eastAsia="仿宋_GB2312" w:hAnsi="仿宋_GB2312" w:cs="仿宋_GB2312"/>
          <w:spacing w:val="6"/>
          <w:sz w:val="32"/>
          <w:szCs w:val="32"/>
        </w:rPr>
        <w:t>/</w:t>
      </w:r>
      <w:r>
        <w:rPr>
          <w:rFonts w:ascii="仿宋_GB2312" w:eastAsia="仿宋_GB2312" w:hAnsi="仿宋_GB2312" w:cs="仿宋_GB2312"/>
          <w:spacing w:val="6"/>
          <w:sz w:val="32"/>
          <w:szCs w:val="32"/>
        </w:rPr>
        <w:t>协议、投资指令、支取通知等有关文件办理资金的支付以及存款证实书的接收、保管与交付，切实履行托管职责。托管人负责依据</w:t>
      </w:r>
      <w:r>
        <w:rPr>
          <w:rFonts w:ascii="仿宋_GB2312" w:eastAsia="仿宋_GB2312" w:hAnsi="仿宋_GB2312" w:cs="仿宋_GB2312" w:hint="eastAsia"/>
          <w:spacing w:val="6"/>
          <w:sz w:val="32"/>
          <w:szCs w:val="32"/>
        </w:rPr>
        <w:t>本协议的约定对存款开户证实书进行保管，不负责对存款开户证实书真伪的辨别，不承担存款开户证实书对应存款的本金及收益的安全。</w:t>
      </w:r>
    </w:p>
    <w:p w:rsidR="0081436D" w:rsidRDefault="00BD165F" w:rsidP="005D01BD">
      <w:pPr>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w:t>
      </w:r>
      <w:r>
        <w:rPr>
          <w:rFonts w:ascii="仿宋_GB2312" w:eastAsia="仿宋_GB2312" w:hAnsi="仿宋_GB2312" w:cs="仿宋_GB2312"/>
          <w:spacing w:val="6"/>
          <w:sz w:val="32"/>
          <w:szCs w:val="32"/>
        </w:rPr>
        <w:t>2</w:t>
      </w:r>
      <w:r>
        <w:rPr>
          <w:rFonts w:ascii="仿宋_GB2312" w:eastAsia="仿宋_GB2312" w:hAnsi="仿宋_GB2312" w:cs="仿宋_GB2312"/>
          <w:spacing w:val="6"/>
          <w:sz w:val="32"/>
          <w:szCs w:val="32"/>
        </w:rPr>
        <w:t>）相关协议的签署</w:t>
      </w:r>
    </w:p>
    <w:p w:rsidR="0081436D" w:rsidRDefault="00BD165F" w:rsidP="005D01BD">
      <w:pPr>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管理人在投资银行存款之前，需与存款银行签订具体存款协议。具体存款协议应包括但不限于以下内容：</w:t>
      </w:r>
    </w:p>
    <w:p w:rsidR="0081436D" w:rsidRDefault="00BD165F" w:rsidP="005D01BD">
      <w:pPr>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①存</w:t>
      </w:r>
      <w:r>
        <w:rPr>
          <w:rFonts w:ascii="仿宋_GB2312" w:eastAsia="仿宋_GB2312" w:hAnsi="仿宋_GB2312" w:cs="仿宋_GB2312" w:hint="eastAsia"/>
          <w:spacing w:val="6"/>
          <w:sz w:val="32"/>
          <w:szCs w:val="32"/>
        </w:rPr>
        <w:t>款账户必须以托管产品名义开立。</w:t>
      </w:r>
    </w:p>
    <w:p w:rsidR="0081436D" w:rsidRDefault="00BD165F" w:rsidP="005D01BD">
      <w:pPr>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②协议须约定存款类型、期限、利率、计息方式、金额、账号、起止时间，存款银行经办行名称、地址及进款账户。</w:t>
      </w:r>
    </w:p>
    <w:p w:rsidR="0081436D" w:rsidRDefault="00BD165F" w:rsidP="005D01BD">
      <w:pPr>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lastRenderedPageBreak/>
        <w:t>③协议须约定将托管人为理财产品开立的托管银行账户指定为唯一回款账户，任何情况下，存款银行都不得将存款</w:t>
      </w:r>
      <w:proofErr w:type="gramStart"/>
      <w:r>
        <w:rPr>
          <w:rFonts w:ascii="仿宋_GB2312" w:eastAsia="仿宋_GB2312" w:hAnsi="仿宋_GB2312" w:cs="仿宋_GB2312" w:hint="eastAsia"/>
          <w:spacing w:val="6"/>
          <w:sz w:val="32"/>
          <w:szCs w:val="32"/>
        </w:rPr>
        <w:t>本息划往任何</w:t>
      </w:r>
      <w:proofErr w:type="gramEnd"/>
      <w:r>
        <w:rPr>
          <w:rFonts w:ascii="仿宋_GB2312" w:eastAsia="仿宋_GB2312" w:hAnsi="仿宋_GB2312" w:cs="仿宋_GB2312" w:hint="eastAsia"/>
          <w:spacing w:val="6"/>
          <w:sz w:val="32"/>
          <w:szCs w:val="32"/>
        </w:rPr>
        <w:t>其他账户。</w:t>
      </w:r>
    </w:p>
    <w:p w:rsidR="0081436D" w:rsidRDefault="00BD165F" w:rsidP="005D01BD">
      <w:pPr>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④资金划转过程中存款银行需要使用过渡账户的，存款银行须保证资金在过渡账户中不出现滞留，不被挪用。</w:t>
      </w:r>
    </w:p>
    <w:p w:rsidR="0081436D" w:rsidRDefault="00BD165F" w:rsidP="005D01BD">
      <w:pPr>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⑤存款银行有义务保证理财产品存款投资在存续期内的安全。</w:t>
      </w:r>
    </w:p>
    <w:p w:rsidR="0081436D" w:rsidRDefault="00BD165F" w:rsidP="005D01BD">
      <w:pPr>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⑥协议须约定存款银行不得接受管理人或托管人任何一方单方面提出的对该笔存款投资进行更名、转让、挂失、质押、担保、撤销变更印鉴及回款账户信息等任何可能导致财产转移的申请。</w:t>
      </w:r>
    </w:p>
    <w:p w:rsidR="0081436D" w:rsidRDefault="00BD165F" w:rsidP="005D01BD">
      <w:pPr>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⑦协议须明确，存款银行对存款证实书的真实性负责，并承担移交过程中由于存款证实书丢失、损毁、被人为调换等所引发的一切后果。正常情况下，同城存款银行应在存款证实书开立后</w:t>
      </w:r>
      <w:r>
        <w:rPr>
          <w:rFonts w:ascii="仿宋_GB2312" w:eastAsia="仿宋_GB2312" w:hAnsi="仿宋_GB2312" w:cs="仿宋_GB2312"/>
          <w:spacing w:val="6"/>
          <w:sz w:val="32"/>
          <w:szCs w:val="32"/>
        </w:rPr>
        <w:t>2</w:t>
      </w:r>
      <w:r>
        <w:rPr>
          <w:rFonts w:ascii="仿宋_GB2312" w:eastAsia="仿宋_GB2312" w:hAnsi="仿宋_GB2312" w:cs="仿宋_GB2312"/>
          <w:spacing w:val="6"/>
          <w:sz w:val="32"/>
          <w:szCs w:val="32"/>
        </w:rPr>
        <w:t>个工作日内将原件移交托管行保管；异地存款银行应在存款证实书开立后</w:t>
      </w:r>
      <w:r>
        <w:rPr>
          <w:rFonts w:ascii="仿宋_GB2312" w:eastAsia="仿宋_GB2312" w:hAnsi="仿宋_GB2312" w:cs="仿宋_GB2312"/>
          <w:spacing w:val="6"/>
          <w:sz w:val="32"/>
          <w:szCs w:val="32"/>
        </w:rPr>
        <w:t>5</w:t>
      </w:r>
      <w:r>
        <w:rPr>
          <w:rFonts w:ascii="仿宋_GB2312" w:eastAsia="仿宋_GB2312" w:hAnsi="仿宋_GB2312" w:cs="仿宋_GB2312"/>
          <w:spacing w:val="6"/>
          <w:sz w:val="32"/>
          <w:szCs w:val="32"/>
        </w:rPr>
        <w:t>个工作日内将原件移交托管行保管。</w:t>
      </w:r>
    </w:p>
    <w:p w:rsidR="0081436D" w:rsidRDefault="00BD165F" w:rsidP="005D01BD">
      <w:pPr>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w:t>
      </w:r>
      <w:r>
        <w:rPr>
          <w:rFonts w:ascii="仿宋_GB2312" w:eastAsia="仿宋_GB2312" w:hAnsi="仿宋_GB2312" w:cs="仿宋_GB2312"/>
          <w:spacing w:val="6"/>
          <w:sz w:val="32"/>
          <w:szCs w:val="32"/>
        </w:rPr>
        <w:t>3</w:t>
      </w:r>
      <w:r>
        <w:rPr>
          <w:rFonts w:ascii="仿宋_GB2312" w:eastAsia="仿宋_GB2312" w:hAnsi="仿宋_GB2312" w:cs="仿宋_GB2312"/>
          <w:spacing w:val="6"/>
          <w:sz w:val="32"/>
          <w:szCs w:val="32"/>
        </w:rPr>
        <w:t>）办理银行存款投资的开户、全部提前支取、部分提前支取或到期支取，可采取以下</w:t>
      </w:r>
      <w:r>
        <w:rPr>
          <w:rFonts w:ascii="仿宋_GB2312" w:eastAsia="仿宋_GB2312" w:hAnsi="仿宋_GB2312" w:cs="仿宋_GB2312"/>
          <w:spacing w:val="6"/>
          <w:sz w:val="32"/>
          <w:szCs w:val="32"/>
        </w:rPr>
        <w:t>方式：</w:t>
      </w:r>
    </w:p>
    <w:p w:rsidR="0081436D" w:rsidRDefault="00BD165F" w:rsidP="005D01BD">
      <w:pPr>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①由存款银行提供上门办理服务。在上门送、取单时，存款银行经办人员应携带单位介绍信</w:t>
      </w:r>
      <w:r>
        <w:rPr>
          <w:rFonts w:ascii="仿宋_GB2312" w:eastAsia="仿宋_GB2312" w:hAnsi="仿宋_GB2312" w:cs="仿宋_GB2312"/>
          <w:spacing w:val="6"/>
          <w:sz w:val="32"/>
          <w:szCs w:val="32"/>
        </w:rPr>
        <w:t>/</w:t>
      </w:r>
      <w:r>
        <w:rPr>
          <w:rFonts w:ascii="仿宋_GB2312" w:eastAsia="仿宋_GB2312" w:hAnsi="仿宋_GB2312" w:cs="仿宋_GB2312"/>
          <w:spacing w:val="6"/>
          <w:sz w:val="32"/>
          <w:szCs w:val="32"/>
        </w:rPr>
        <w:t>授权书以及个人身份证件，以便托管人进行核查。</w:t>
      </w:r>
    </w:p>
    <w:p w:rsidR="0081436D" w:rsidRDefault="00BD165F" w:rsidP="005D01BD">
      <w:pPr>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②由管理人代为提供上门送、取单服务。在上门送、</w:t>
      </w:r>
      <w:r>
        <w:rPr>
          <w:rFonts w:ascii="仿宋_GB2312" w:eastAsia="仿宋_GB2312" w:hAnsi="仿宋_GB2312" w:cs="仿宋_GB2312" w:hint="eastAsia"/>
          <w:spacing w:val="6"/>
          <w:sz w:val="32"/>
          <w:szCs w:val="32"/>
        </w:rPr>
        <w:lastRenderedPageBreak/>
        <w:t>取单时，管理人经办人员应携带单位介绍信</w:t>
      </w:r>
      <w:r>
        <w:rPr>
          <w:rFonts w:ascii="仿宋_GB2312" w:eastAsia="仿宋_GB2312" w:hAnsi="仿宋_GB2312" w:cs="仿宋_GB2312"/>
          <w:spacing w:val="6"/>
          <w:sz w:val="32"/>
          <w:szCs w:val="32"/>
        </w:rPr>
        <w:t>/</w:t>
      </w:r>
      <w:r>
        <w:rPr>
          <w:rFonts w:ascii="仿宋_GB2312" w:eastAsia="仿宋_GB2312" w:hAnsi="仿宋_GB2312" w:cs="仿宋_GB2312"/>
          <w:spacing w:val="6"/>
          <w:sz w:val="32"/>
          <w:szCs w:val="32"/>
        </w:rPr>
        <w:t>授权书以及个人身份证件，以便托管人进行核查。管理</w:t>
      </w:r>
      <w:proofErr w:type="gramStart"/>
      <w:r>
        <w:rPr>
          <w:rFonts w:ascii="仿宋_GB2312" w:eastAsia="仿宋_GB2312" w:hAnsi="仿宋_GB2312" w:cs="仿宋_GB2312"/>
          <w:spacing w:val="6"/>
          <w:sz w:val="32"/>
          <w:szCs w:val="32"/>
        </w:rPr>
        <w:t>人上述</w:t>
      </w:r>
      <w:proofErr w:type="gramEnd"/>
      <w:r>
        <w:rPr>
          <w:rFonts w:ascii="仿宋_GB2312" w:eastAsia="仿宋_GB2312" w:hAnsi="仿宋_GB2312" w:cs="仿宋_GB2312"/>
          <w:spacing w:val="6"/>
          <w:sz w:val="32"/>
          <w:szCs w:val="32"/>
        </w:rPr>
        <w:t>事项被授权人员与管理人负责洽谈存款事宜并签订存款协议的人员不能为同一人。</w:t>
      </w:r>
    </w:p>
    <w:p w:rsidR="0081436D" w:rsidRDefault="00BD165F" w:rsidP="005D01BD">
      <w:pPr>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③管理人与托管人双方协商一致的其他办理方式。</w:t>
      </w:r>
    </w:p>
    <w:p w:rsidR="0081436D" w:rsidRDefault="00BD165F" w:rsidP="005D01BD">
      <w:pPr>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w:t>
      </w:r>
      <w:r>
        <w:rPr>
          <w:rFonts w:ascii="仿宋_GB2312" w:eastAsia="仿宋_GB2312" w:hAnsi="仿宋_GB2312" w:cs="仿宋_GB2312"/>
          <w:spacing w:val="6"/>
          <w:sz w:val="32"/>
          <w:szCs w:val="32"/>
        </w:rPr>
        <w:t>4</w:t>
      </w:r>
      <w:r>
        <w:rPr>
          <w:rFonts w:ascii="仿宋_GB2312" w:eastAsia="仿宋_GB2312" w:hAnsi="仿宋_GB2312" w:cs="仿宋_GB2312"/>
          <w:spacing w:val="6"/>
          <w:sz w:val="32"/>
          <w:szCs w:val="32"/>
        </w:rPr>
        <w:t>）</w:t>
      </w:r>
      <w:r>
        <w:rPr>
          <w:rFonts w:ascii="仿宋_GB2312" w:eastAsia="仿宋_GB2312" w:hAnsi="仿宋_GB2312" w:cs="仿宋_GB2312" w:hint="eastAsia"/>
          <w:spacing w:val="6"/>
          <w:sz w:val="32"/>
          <w:szCs w:val="32"/>
        </w:rPr>
        <w:t>理财产品投资银行存款或办理存款支取时，管理人需提前发送银行存款投资合同</w:t>
      </w:r>
      <w:r>
        <w:rPr>
          <w:rFonts w:ascii="仿宋_GB2312" w:eastAsia="仿宋_GB2312" w:hAnsi="仿宋_GB2312" w:cs="仿宋_GB2312"/>
          <w:spacing w:val="6"/>
          <w:sz w:val="32"/>
          <w:szCs w:val="32"/>
        </w:rPr>
        <w:t>/</w:t>
      </w:r>
      <w:r>
        <w:rPr>
          <w:rFonts w:ascii="仿宋_GB2312" w:eastAsia="仿宋_GB2312" w:hAnsi="仿宋_GB2312" w:cs="仿宋_GB2312"/>
          <w:spacing w:val="6"/>
          <w:sz w:val="32"/>
          <w:szCs w:val="32"/>
        </w:rPr>
        <w:t>协议、投资指令、支取通知等有关文件到托</w:t>
      </w:r>
      <w:r>
        <w:rPr>
          <w:rFonts w:ascii="仿宋_GB2312" w:eastAsia="仿宋_GB2312" w:hAnsi="仿宋_GB2312" w:cs="仿宋_GB2312"/>
          <w:spacing w:val="6"/>
          <w:sz w:val="32"/>
          <w:szCs w:val="32"/>
        </w:rPr>
        <w:t>管人处，以便托管人有足够的时间履行相应的业务操作程序。</w:t>
      </w:r>
    </w:p>
    <w:p w:rsidR="0081436D" w:rsidRDefault="00BD165F" w:rsidP="005D01BD">
      <w:pPr>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w:t>
      </w:r>
      <w:r>
        <w:rPr>
          <w:rFonts w:ascii="仿宋_GB2312" w:eastAsia="仿宋_GB2312" w:hAnsi="仿宋_GB2312" w:cs="仿宋_GB2312"/>
          <w:spacing w:val="6"/>
          <w:sz w:val="32"/>
          <w:szCs w:val="32"/>
        </w:rPr>
        <w:t>5</w:t>
      </w:r>
      <w:r>
        <w:rPr>
          <w:rFonts w:ascii="仿宋_GB2312" w:eastAsia="仿宋_GB2312" w:hAnsi="仿宋_GB2312" w:cs="仿宋_GB2312"/>
          <w:spacing w:val="6"/>
          <w:sz w:val="32"/>
          <w:szCs w:val="32"/>
        </w:rPr>
        <w:t>）如发生逾期支取，托管人不承担相应利息损失及逾期支取手续费。</w:t>
      </w:r>
    </w:p>
    <w:p w:rsidR="0081436D" w:rsidRDefault="00BD165F" w:rsidP="005D01BD">
      <w:pPr>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w:t>
      </w:r>
      <w:r>
        <w:rPr>
          <w:rFonts w:ascii="仿宋_GB2312" w:eastAsia="仿宋_GB2312" w:hAnsi="仿宋_GB2312" w:cs="仿宋_GB2312"/>
          <w:spacing w:val="6"/>
          <w:sz w:val="32"/>
          <w:szCs w:val="32"/>
        </w:rPr>
        <w:t>6</w:t>
      </w:r>
      <w:r>
        <w:rPr>
          <w:rFonts w:ascii="仿宋_GB2312" w:eastAsia="仿宋_GB2312" w:hAnsi="仿宋_GB2312" w:cs="仿宋_GB2312"/>
          <w:spacing w:val="6"/>
          <w:sz w:val="32"/>
          <w:szCs w:val="32"/>
        </w:rPr>
        <w:t>）</w:t>
      </w:r>
      <w:r>
        <w:rPr>
          <w:rFonts w:ascii="仿宋_GB2312" w:eastAsia="仿宋_GB2312" w:hAnsi="仿宋_GB2312" w:cs="仿宋_GB2312" w:hint="eastAsia"/>
          <w:spacing w:val="6"/>
          <w:sz w:val="32"/>
          <w:szCs w:val="32"/>
        </w:rPr>
        <w:t>理财产品投资银行存款时，应本着便于存款证实</w:t>
      </w:r>
      <w:proofErr w:type="gramStart"/>
      <w:r>
        <w:rPr>
          <w:rFonts w:ascii="仿宋_GB2312" w:eastAsia="仿宋_GB2312" w:hAnsi="仿宋_GB2312" w:cs="仿宋_GB2312" w:hint="eastAsia"/>
          <w:spacing w:val="6"/>
          <w:sz w:val="32"/>
          <w:szCs w:val="32"/>
        </w:rPr>
        <w:t>书安全</w:t>
      </w:r>
      <w:proofErr w:type="gramEnd"/>
      <w:r>
        <w:rPr>
          <w:rFonts w:ascii="仿宋_GB2312" w:eastAsia="仿宋_GB2312" w:hAnsi="仿宋_GB2312" w:cs="仿宋_GB2312" w:hint="eastAsia"/>
          <w:spacing w:val="6"/>
          <w:sz w:val="32"/>
          <w:szCs w:val="32"/>
        </w:rPr>
        <w:t>保管和日常监督核查的原则，尽可能选择托管账户开户行所在地的银行机构办理。</w:t>
      </w:r>
    </w:p>
    <w:p w:rsidR="0081436D" w:rsidRDefault="00BD165F" w:rsidP="005D01BD">
      <w:pPr>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w:t>
      </w:r>
      <w:r>
        <w:rPr>
          <w:rFonts w:ascii="仿宋_GB2312" w:eastAsia="仿宋_GB2312" w:hAnsi="仿宋_GB2312" w:cs="仿宋_GB2312"/>
          <w:spacing w:val="6"/>
          <w:sz w:val="32"/>
          <w:szCs w:val="32"/>
        </w:rPr>
        <w:t>7</w:t>
      </w:r>
      <w:r>
        <w:rPr>
          <w:rFonts w:ascii="仿宋_GB2312" w:eastAsia="仿宋_GB2312" w:hAnsi="仿宋_GB2312" w:cs="仿宋_GB2312"/>
          <w:spacing w:val="6"/>
          <w:sz w:val="32"/>
          <w:szCs w:val="32"/>
        </w:rPr>
        <w:t>）对于已移交托管人保管的存款开户证实书等实物凭证，托管人应确保安全保管；对未按约定将存款开户证实书等实物凭证移交托管人保管的，托管人应向管理人进行必要的催缴和风险提示；提示后仍不将相关实物凭证送达托管人保管的，出于托管履职和尽责，托管人可视情况采取必要的风险</w:t>
      </w:r>
      <w:r>
        <w:rPr>
          <w:rFonts w:ascii="仿宋_GB2312" w:eastAsia="仿宋_GB2312" w:hAnsi="仿宋_GB2312" w:cs="仿宋_GB2312"/>
          <w:spacing w:val="6"/>
          <w:sz w:val="32"/>
          <w:szCs w:val="32"/>
        </w:rPr>
        <w:t>控制措施：</w:t>
      </w:r>
    </w:p>
    <w:p w:rsidR="0081436D" w:rsidRDefault="00BD165F" w:rsidP="005D01BD">
      <w:pPr>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①建立风险预警机制，对于实物凭证未送达集中度较高的存款银行，主动发</w:t>
      </w:r>
      <w:proofErr w:type="gramStart"/>
      <w:r>
        <w:rPr>
          <w:rFonts w:ascii="仿宋_GB2312" w:eastAsia="仿宋_GB2312" w:hAnsi="仿宋_GB2312" w:cs="仿宋_GB2312" w:hint="eastAsia"/>
          <w:spacing w:val="6"/>
          <w:sz w:val="32"/>
          <w:szCs w:val="32"/>
        </w:rPr>
        <w:t>函管</w:t>
      </w:r>
      <w:proofErr w:type="gramEnd"/>
      <w:r>
        <w:rPr>
          <w:rFonts w:ascii="仿宋_GB2312" w:eastAsia="仿宋_GB2312" w:hAnsi="仿宋_GB2312" w:cs="仿宋_GB2312" w:hint="eastAsia"/>
          <w:spacing w:val="6"/>
          <w:sz w:val="32"/>
          <w:szCs w:val="32"/>
        </w:rPr>
        <w:t>理人尽量避免在此类银行进行存款投资；</w:t>
      </w:r>
    </w:p>
    <w:p w:rsidR="0081436D" w:rsidRDefault="00BD165F" w:rsidP="005D01BD">
      <w:pPr>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lastRenderedPageBreak/>
        <w:t>②在定期报告中，对未按约定送达托管人保管的实物凭证信息进行规定范围信息披露；</w:t>
      </w:r>
    </w:p>
    <w:p w:rsidR="0081436D" w:rsidRDefault="00BD165F" w:rsidP="005D01BD">
      <w:pPr>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③未送达实物凭证超过送单截止日后</w:t>
      </w:r>
      <w:r>
        <w:rPr>
          <w:rFonts w:ascii="仿宋_GB2312" w:eastAsia="仿宋_GB2312" w:hAnsi="仿宋_GB2312" w:cs="仿宋_GB2312"/>
          <w:spacing w:val="6"/>
          <w:sz w:val="32"/>
          <w:szCs w:val="32"/>
        </w:rPr>
        <w:t>30</w:t>
      </w:r>
      <w:r>
        <w:rPr>
          <w:rFonts w:ascii="仿宋_GB2312" w:eastAsia="仿宋_GB2312" w:hAnsi="仿宋_GB2312" w:cs="仿宋_GB2312"/>
          <w:spacing w:val="6"/>
          <w:sz w:val="32"/>
          <w:szCs w:val="32"/>
        </w:rPr>
        <w:t>个工作日，且累计超过</w:t>
      </w:r>
      <w:r>
        <w:rPr>
          <w:rFonts w:ascii="仿宋_GB2312" w:eastAsia="仿宋_GB2312" w:hAnsi="仿宋_GB2312" w:cs="仿宋_GB2312"/>
          <w:spacing w:val="6"/>
          <w:sz w:val="32"/>
          <w:szCs w:val="32"/>
        </w:rPr>
        <w:t>3</w:t>
      </w:r>
      <w:r>
        <w:rPr>
          <w:rFonts w:ascii="仿宋_GB2312" w:eastAsia="仿宋_GB2312" w:hAnsi="仿宋_GB2312" w:cs="仿宋_GB2312"/>
          <w:spacing w:val="6"/>
          <w:sz w:val="32"/>
          <w:szCs w:val="32"/>
        </w:rPr>
        <w:t>笔（含）以上的，部分或全部暂停配合管理人办理后续新增存款投资业务，直至实物凭证送达</w:t>
      </w:r>
      <w:r>
        <w:rPr>
          <w:rFonts w:ascii="仿宋_GB2312" w:eastAsia="仿宋_GB2312" w:hAnsi="仿宋_GB2312" w:cs="仿宋_GB2312" w:hint="eastAsia"/>
          <w:spacing w:val="6"/>
          <w:sz w:val="32"/>
          <w:szCs w:val="32"/>
        </w:rPr>
        <w:t>托管人保管后解除。实物凭证未送达但存款本息已安全划回托管账户的，以及因发生特殊情况由管理人提供相关书面说明并重新承诺送单截止时间的，可剔除不计。</w:t>
      </w:r>
    </w:p>
    <w:p w:rsidR="0081436D" w:rsidRDefault="0081436D" w:rsidP="005D01BD">
      <w:pPr>
        <w:widowControl w:val="0"/>
        <w:spacing w:line="590" w:lineRule="exact"/>
        <w:ind w:firstLineChars="200" w:firstLine="652"/>
        <w:jc w:val="both"/>
        <w:rPr>
          <w:rFonts w:ascii="仿宋_GB2312" w:eastAsia="仿宋_GB2312" w:hAnsi="仿宋_GB2312" w:cs="仿宋_GB2312"/>
          <w:spacing w:val="6"/>
          <w:sz w:val="32"/>
          <w:szCs w:val="32"/>
        </w:rPr>
      </w:pPr>
    </w:p>
    <w:p w:rsidR="0081436D" w:rsidRDefault="00BD165F">
      <w:pPr>
        <w:pStyle w:val="1"/>
        <w:tabs>
          <w:tab w:val="clear" w:pos="0"/>
          <w:tab w:val="clear" w:pos="5246"/>
        </w:tabs>
        <w:spacing w:before="0" w:line="590" w:lineRule="exact"/>
        <w:ind w:left="0"/>
        <w:jc w:val="center"/>
        <w:rPr>
          <w:rFonts w:ascii="仿宋_GB2312" w:eastAsia="仿宋_GB2312" w:hAnsi="仿宋_GB2312"/>
          <w:sz w:val="32"/>
          <w:szCs w:val="32"/>
        </w:rPr>
      </w:pPr>
      <w:bookmarkStart w:id="137" w:name="_Toc24832"/>
      <w:bookmarkStart w:id="138" w:name="_Toc988"/>
      <w:bookmarkStart w:id="139" w:name="_Toc7869"/>
      <w:bookmarkStart w:id="140" w:name="_Toc24884"/>
      <w:bookmarkStart w:id="141" w:name="_Toc16238"/>
      <w:bookmarkStart w:id="142" w:name="_Toc17174"/>
      <w:bookmarkStart w:id="143" w:name="_Toc21436"/>
      <w:bookmarkStart w:id="144" w:name="_Toc26300"/>
      <w:bookmarkStart w:id="145" w:name="_Toc8772"/>
      <w:bookmarkStart w:id="146" w:name="_Toc425952825"/>
      <w:bookmarkStart w:id="147" w:name="_Toc1224"/>
      <w:r>
        <w:rPr>
          <w:rFonts w:ascii="仿宋_GB2312" w:eastAsia="仿宋_GB2312" w:hAnsi="仿宋_GB2312"/>
          <w:sz w:val="32"/>
          <w:szCs w:val="32"/>
        </w:rPr>
        <w:t>会计核算与估值</w:t>
      </w:r>
      <w:bookmarkEnd w:id="137"/>
      <w:bookmarkEnd w:id="138"/>
      <w:bookmarkEnd w:id="139"/>
      <w:bookmarkEnd w:id="140"/>
      <w:bookmarkEnd w:id="141"/>
      <w:bookmarkEnd w:id="142"/>
      <w:bookmarkEnd w:id="143"/>
      <w:bookmarkEnd w:id="144"/>
      <w:bookmarkEnd w:id="145"/>
      <w:bookmarkEnd w:id="146"/>
      <w:bookmarkEnd w:id="147"/>
    </w:p>
    <w:p w:rsidR="0081436D" w:rsidRDefault="00BD165F" w:rsidP="005D01BD">
      <w:pPr>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spacing w:val="6"/>
          <w:sz w:val="32"/>
          <w:szCs w:val="32"/>
        </w:rPr>
        <w:t>（一）核算与估值的原则</w:t>
      </w:r>
    </w:p>
    <w:p w:rsidR="0081436D" w:rsidRDefault="00BD165F" w:rsidP="005D01BD">
      <w:pPr>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spacing w:val="6"/>
          <w:sz w:val="32"/>
          <w:szCs w:val="32"/>
        </w:rPr>
        <w:t>1.</w:t>
      </w:r>
      <w:r>
        <w:rPr>
          <w:rFonts w:ascii="仿宋_GB2312" w:eastAsia="仿宋_GB2312" w:hAnsi="仿宋_GB2312" w:cs="仿宋_GB2312"/>
          <w:spacing w:val="6"/>
          <w:sz w:val="32"/>
          <w:szCs w:val="32"/>
        </w:rPr>
        <w:t>管理人应对理财产品实行净值化管理，净值生成应当符合企业会计准则规定，及时反映基础金融资产的收益和风险，理财产品的会计核算和资产估值由管理人和托管人各自独立完成，管理人承担理财产品主会计估值核算工作，托管人复核管理人提供的结果。</w:t>
      </w:r>
    </w:p>
    <w:p w:rsidR="0081436D" w:rsidRDefault="00BD165F" w:rsidP="005D01BD">
      <w:pPr>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spacing w:val="6"/>
          <w:sz w:val="32"/>
          <w:szCs w:val="32"/>
        </w:rPr>
        <w:t>2.</w:t>
      </w:r>
      <w:r>
        <w:rPr>
          <w:rFonts w:ascii="仿宋_GB2312" w:eastAsia="仿宋_GB2312" w:hAnsi="仿宋_GB2312" w:cs="仿宋_GB2312"/>
          <w:spacing w:val="6"/>
          <w:sz w:val="32"/>
          <w:szCs w:val="32"/>
        </w:rPr>
        <w:t>理财产品的估值应坚持公允价值计量原则，鼓励使用市值计量，在满足相关法律法规规定的条件下，可按照企业会计准则以摊</w:t>
      </w:r>
      <w:proofErr w:type="gramStart"/>
      <w:r>
        <w:rPr>
          <w:rFonts w:ascii="仿宋_GB2312" w:eastAsia="仿宋_GB2312" w:hAnsi="仿宋_GB2312" w:cs="仿宋_GB2312"/>
          <w:spacing w:val="6"/>
          <w:sz w:val="32"/>
          <w:szCs w:val="32"/>
        </w:rPr>
        <w:t>余成本</w:t>
      </w:r>
      <w:proofErr w:type="gramEnd"/>
      <w:r>
        <w:rPr>
          <w:rFonts w:ascii="仿宋_GB2312" w:eastAsia="仿宋_GB2312" w:hAnsi="仿宋_GB2312" w:cs="仿宋_GB2312"/>
          <w:spacing w:val="6"/>
          <w:sz w:val="32"/>
          <w:szCs w:val="32"/>
        </w:rPr>
        <w:t>进行计量，以摊</w:t>
      </w:r>
      <w:proofErr w:type="gramStart"/>
      <w:r>
        <w:rPr>
          <w:rFonts w:ascii="仿宋_GB2312" w:eastAsia="仿宋_GB2312" w:hAnsi="仿宋_GB2312" w:cs="仿宋_GB2312"/>
          <w:spacing w:val="6"/>
          <w:sz w:val="32"/>
          <w:szCs w:val="32"/>
        </w:rPr>
        <w:t>余成本</w:t>
      </w:r>
      <w:proofErr w:type="gramEnd"/>
      <w:r>
        <w:rPr>
          <w:rFonts w:ascii="仿宋_GB2312" w:eastAsia="仿宋_GB2312" w:hAnsi="仿宋_GB2312" w:cs="仿宋_GB2312"/>
          <w:spacing w:val="6"/>
          <w:sz w:val="32"/>
          <w:szCs w:val="32"/>
        </w:rPr>
        <w:t>计量金融资产净值的，管理人应当采用适当的风险控制手段，对金融资产净值的公允性进行评估。</w:t>
      </w:r>
    </w:p>
    <w:p w:rsidR="0081436D" w:rsidRDefault="00BD165F" w:rsidP="005D01BD">
      <w:pPr>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spacing w:val="6"/>
          <w:sz w:val="32"/>
          <w:szCs w:val="32"/>
        </w:rPr>
        <w:t>3.</w:t>
      </w:r>
      <w:r>
        <w:rPr>
          <w:rFonts w:ascii="仿宋_GB2312" w:eastAsia="仿宋_GB2312" w:hAnsi="仿宋_GB2312" w:cs="仿宋_GB2312"/>
          <w:spacing w:val="6"/>
          <w:sz w:val="32"/>
          <w:szCs w:val="32"/>
        </w:rPr>
        <w:t>所有会计原始凭证原件由</w:t>
      </w:r>
      <w:r>
        <w:rPr>
          <w:rFonts w:ascii="仿宋_GB2312" w:eastAsia="仿宋_GB2312" w:hAnsi="仿宋_GB2312" w:cs="仿宋_GB2312" w:hint="eastAsia"/>
          <w:spacing w:val="6"/>
          <w:sz w:val="32"/>
          <w:szCs w:val="32"/>
        </w:rPr>
        <w:t>管</w:t>
      </w:r>
      <w:r>
        <w:rPr>
          <w:rFonts w:ascii="仿宋_GB2312" w:eastAsia="仿宋_GB2312" w:hAnsi="仿宋_GB2312" w:cs="仿宋_GB2312" w:hint="eastAsia"/>
          <w:spacing w:val="6"/>
          <w:sz w:val="32"/>
          <w:szCs w:val="32"/>
        </w:rPr>
        <w:t>理人保管。律师费、审计费等由信托财产承担的相关费用发票及协议（合同）原</w:t>
      </w:r>
      <w:r>
        <w:rPr>
          <w:rFonts w:ascii="仿宋_GB2312" w:eastAsia="仿宋_GB2312" w:hAnsi="仿宋_GB2312" w:cs="仿宋_GB2312" w:hint="eastAsia"/>
          <w:spacing w:val="6"/>
          <w:sz w:val="32"/>
          <w:szCs w:val="32"/>
        </w:rPr>
        <w:lastRenderedPageBreak/>
        <w:t>件由管理人保管，管理人应及时将上述发票扫描件发送托管人作为托管人核算依据。</w:t>
      </w:r>
    </w:p>
    <w:p w:rsidR="0081436D" w:rsidRDefault="00BD165F" w:rsidP="005D01BD">
      <w:pPr>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spacing w:val="6"/>
          <w:sz w:val="32"/>
          <w:szCs w:val="32"/>
        </w:rPr>
        <w:t>（二）核算和估值的方法</w:t>
      </w:r>
    </w:p>
    <w:p w:rsidR="0081436D" w:rsidRDefault="00BD165F" w:rsidP="005D01BD">
      <w:pPr>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spacing w:val="6"/>
          <w:sz w:val="32"/>
          <w:szCs w:val="32"/>
        </w:rPr>
        <w:t>管理人和托管人依照法律法规和有关会计准则商定理财产品会计核算与估值方法，分别为每只理财产品单独建账、单独核算，完整记录理财产品的投资运作，及时准确地反映理财产品财产价值，并保管理财产品会计账册。理财产品所投资资产具体的核算和估值方法以理财产品说明书约定的为准。</w:t>
      </w:r>
    </w:p>
    <w:p w:rsidR="0081436D" w:rsidRDefault="00BD165F" w:rsidP="005D01BD">
      <w:pPr>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spacing w:val="6"/>
          <w:sz w:val="32"/>
          <w:szCs w:val="32"/>
        </w:rPr>
        <w:t>理财产品份额净值是按照每个估值日理财产品份额资产净值除以当日理财产品份额的余额数</w:t>
      </w:r>
      <w:r>
        <w:rPr>
          <w:rFonts w:ascii="仿宋_GB2312" w:eastAsia="仿宋_GB2312" w:hAnsi="仿宋_GB2312" w:cs="仿宋_GB2312"/>
          <w:spacing w:val="6"/>
          <w:sz w:val="32"/>
          <w:szCs w:val="32"/>
        </w:rPr>
        <w:t>量计算，如无特殊约定精确到</w:t>
      </w:r>
      <w:r>
        <w:rPr>
          <w:rFonts w:ascii="仿宋_GB2312" w:eastAsia="仿宋_GB2312" w:hAnsi="仿宋_GB2312" w:cs="仿宋_GB2312"/>
          <w:spacing w:val="6"/>
          <w:sz w:val="32"/>
          <w:szCs w:val="32"/>
        </w:rPr>
        <w:t>0.0001</w:t>
      </w:r>
      <w:r>
        <w:rPr>
          <w:rFonts w:ascii="仿宋_GB2312" w:eastAsia="仿宋_GB2312" w:hAnsi="仿宋_GB2312" w:cs="仿宋_GB2312"/>
          <w:spacing w:val="6"/>
          <w:sz w:val="32"/>
          <w:szCs w:val="32"/>
        </w:rPr>
        <w:t>元，小数点后第五位四舍五入，理财产品说明书或公告另有约定的，以理财产品说明书或公告为准。非净值型的现金管理类理财产品单位净值每日归</w:t>
      </w:r>
      <w:r>
        <w:rPr>
          <w:rFonts w:ascii="仿宋_GB2312" w:eastAsia="仿宋_GB2312" w:hAnsi="仿宋_GB2312" w:cs="仿宋_GB2312"/>
          <w:spacing w:val="6"/>
          <w:sz w:val="32"/>
          <w:szCs w:val="32"/>
        </w:rPr>
        <w:t>1</w:t>
      </w:r>
      <w:r>
        <w:rPr>
          <w:rFonts w:ascii="仿宋_GB2312" w:eastAsia="仿宋_GB2312" w:hAnsi="仿宋_GB2312" w:cs="仿宋_GB2312"/>
          <w:spacing w:val="6"/>
          <w:sz w:val="32"/>
          <w:szCs w:val="32"/>
        </w:rPr>
        <w:t>，净值大于</w:t>
      </w:r>
      <w:r>
        <w:rPr>
          <w:rFonts w:ascii="仿宋_GB2312" w:eastAsia="仿宋_GB2312" w:hAnsi="仿宋_GB2312" w:cs="仿宋_GB2312"/>
          <w:spacing w:val="6"/>
          <w:sz w:val="32"/>
          <w:szCs w:val="32"/>
        </w:rPr>
        <w:t>1</w:t>
      </w:r>
      <w:r>
        <w:rPr>
          <w:rFonts w:ascii="仿宋_GB2312" w:eastAsia="仿宋_GB2312" w:hAnsi="仿宋_GB2312" w:cs="仿宋_GB2312"/>
          <w:spacing w:val="6"/>
          <w:sz w:val="32"/>
          <w:szCs w:val="32"/>
        </w:rPr>
        <w:t>的部分以理财产品说明书约定的收益分配方式进行核算处理。国家另有规定的，从其规定。理财产品份额分类的，各类理财产品份额分别计算理财产品份额净值和份额累计净值（或理财产品每万份产品净收益和</w:t>
      </w:r>
      <w:proofErr w:type="gramStart"/>
      <w:r>
        <w:rPr>
          <w:rFonts w:ascii="仿宋_GB2312" w:eastAsia="仿宋_GB2312" w:hAnsi="仿宋_GB2312" w:cs="仿宋_GB2312"/>
          <w:spacing w:val="6"/>
          <w:sz w:val="32"/>
          <w:szCs w:val="32"/>
        </w:rPr>
        <w:t>7</w:t>
      </w:r>
      <w:r>
        <w:rPr>
          <w:rFonts w:ascii="仿宋_GB2312" w:eastAsia="仿宋_GB2312" w:hAnsi="仿宋_GB2312" w:cs="仿宋_GB2312"/>
          <w:spacing w:val="6"/>
          <w:sz w:val="32"/>
          <w:szCs w:val="32"/>
        </w:rPr>
        <w:t>日年化收益率</w:t>
      </w:r>
      <w:proofErr w:type="gramEnd"/>
      <w:r>
        <w:rPr>
          <w:rFonts w:ascii="仿宋_GB2312" w:eastAsia="仿宋_GB2312" w:hAnsi="仿宋_GB2312" w:cs="仿宋_GB2312"/>
          <w:spacing w:val="6"/>
          <w:sz w:val="32"/>
          <w:szCs w:val="32"/>
        </w:rPr>
        <w:t>）。管理人应按</w:t>
      </w:r>
      <w:r>
        <w:rPr>
          <w:rFonts w:ascii="仿宋_GB2312" w:eastAsia="仿宋_GB2312" w:hAnsi="仿宋_GB2312" w:cs="仿宋_GB2312" w:hint="eastAsia"/>
          <w:spacing w:val="6"/>
          <w:sz w:val="32"/>
          <w:szCs w:val="32"/>
        </w:rPr>
        <w:t>每只理财产品说明书</w:t>
      </w:r>
      <w:r>
        <w:rPr>
          <w:rFonts w:ascii="仿宋_GB2312" w:eastAsia="仿宋_GB2312" w:hAnsi="仿宋_GB2312" w:cs="仿宋_GB2312"/>
          <w:spacing w:val="6"/>
          <w:sz w:val="32"/>
          <w:szCs w:val="32"/>
        </w:rPr>
        <w:t>约定的估值日</w:t>
      </w:r>
      <w:r>
        <w:rPr>
          <w:rFonts w:ascii="仿宋_GB2312" w:eastAsia="仿宋_GB2312" w:hAnsi="仿宋_GB2312" w:cs="仿宋_GB2312" w:hint="eastAsia"/>
          <w:spacing w:val="6"/>
          <w:sz w:val="32"/>
          <w:szCs w:val="32"/>
        </w:rPr>
        <w:t>、</w:t>
      </w:r>
      <w:r>
        <w:rPr>
          <w:rFonts w:ascii="仿宋_GB2312" w:eastAsia="仿宋_GB2312" w:hAnsi="仿宋_GB2312" w:cs="仿宋_GB2312"/>
          <w:spacing w:val="6"/>
          <w:sz w:val="32"/>
          <w:szCs w:val="32"/>
        </w:rPr>
        <w:t>估值核对频率向托管人发送理财产品估值核算结果，托管人对管理人计算的理财产品净值数据进行</w:t>
      </w:r>
      <w:r>
        <w:rPr>
          <w:rFonts w:ascii="仿宋_GB2312" w:eastAsia="仿宋_GB2312" w:hAnsi="仿宋_GB2312" w:cs="仿宋_GB2312"/>
          <w:spacing w:val="6"/>
          <w:sz w:val="32"/>
          <w:szCs w:val="32"/>
        </w:rPr>
        <w:t>复核确认。双方需通过电子邮件</w:t>
      </w:r>
      <w:r>
        <w:rPr>
          <w:rFonts w:ascii="仿宋_GB2312" w:eastAsia="仿宋_GB2312" w:hAnsi="仿宋_GB2312" w:cs="仿宋_GB2312" w:hint="eastAsia"/>
          <w:spacing w:val="6"/>
          <w:sz w:val="32"/>
          <w:szCs w:val="32"/>
        </w:rPr>
        <w:t>、</w:t>
      </w:r>
      <w:proofErr w:type="gramStart"/>
      <w:r>
        <w:rPr>
          <w:rFonts w:ascii="仿宋_GB2312" w:eastAsia="仿宋_GB2312" w:hAnsi="仿宋_GB2312" w:cs="仿宋_GB2312"/>
          <w:spacing w:val="6"/>
          <w:sz w:val="32"/>
          <w:szCs w:val="32"/>
        </w:rPr>
        <w:t>深证通或</w:t>
      </w:r>
      <w:proofErr w:type="gramEnd"/>
      <w:r>
        <w:rPr>
          <w:rFonts w:ascii="仿宋_GB2312" w:eastAsia="仿宋_GB2312" w:hAnsi="仿宋_GB2312" w:cs="仿宋_GB2312"/>
          <w:spacing w:val="6"/>
          <w:sz w:val="32"/>
          <w:szCs w:val="32"/>
        </w:rPr>
        <w:t>双方认可的其他方式传输估值核算结果</w:t>
      </w:r>
      <w:r>
        <w:rPr>
          <w:rFonts w:ascii="仿宋_GB2312" w:eastAsia="仿宋_GB2312" w:hAnsi="仿宋_GB2312" w:cs="仿宋_GB2312" w:hint="eastAsia"/>
          <w:spacing w:val="6"/>
          <w:sz w:val="32"/>
          <w:szCs w:val="32"/>
        </w:rPr>
        <w:t>。如果有最新规定或管理人和托管人协商一</w:t>
      </w:r>
      <w:r>
        <w:rPr>
          <w:rFonts w:ascii="仿宋_GB2312" w:eastAsia="仿宋_GB2312" w:hAnsi="仿宋_GB2312" w:cs="仿宋_GB2312" w:hint="eastAsia"/>
          <w:spacing w:val="6"/>
          <w:sz w:val="32"/>
          <w:szCs w:val="32"/>
        </w:rPr>
        <w:lastRenderedPageBreak/>
        <w:t>致，双方可以按最新约定的估值日、估值核对频率进行估值核对。</w:t>
      </w:r>
      <w:r>
        <w:rPr>
          <w:rFonts w:ascii="仿宋_GB2312" w:eastAsia="仿宋_GB2312" w:hAnsi="仿宋_GB2312" w:cs="仿宋_GB2312"/>
          <w:spacing w:val="6"/>
          <w:sz w:val="32"/>
          <w:szCs w:val="32"/>
        </w:rPr>
        <w:t>如果存在差异，托管人应及时告知管理人，双方共同查明原因，及时调整账务。如涉及理财产品投资者利益的，由管理人负责对投资者进行披露，并确定调整方案。双方不能达成一致的，以管理人确定的计算方法为准。因此造成的估值错误而给投资者或理财产品财产造成的损失，托管人不承担责任。</w:t>
      </w:r>
    </w:p>
    <w:p w:rsidR="0081436D" w:rsidRDefault="00BD165F" w:rsidP="005D01BD">
      <w:pPr>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spacing w:val="6"/>
          <w:sz w:val="32"/>
          <w:szCs w:val="32"/>
        </w:rPr>
        <w:t>T+0</w:t>
      </w:r>
      <w:r>
        <w:rPr>
          <w:rFonts w:ascii="仿宋_GB2312" w:eastAsia="仿宋_GB2312" w:hAnsi="仿宋_GB2312" w:cs="仿宋_GB2312"/>
          <w:spacing w:val="6"/>
          <w:sz w:val="32"/>
          <w:szCs w:val="32"/>
        </w:rPr>
        <w:t>估值产品如遇未获相关通知在账务处理后发生资金变动的情况，</w:t>
      </w:r>
      <w:proofErr w:type="gramStart"/>
      <w:r>
        <w:rPr>
          <w:rFonts w:ascii="仿宋_GB2312" w:eastAsia="仿宋_GB2312" w:hAnsi="仿宋_GB2312" w:cs="仿宋_GB2312"/>
          <w:spacing w:val="6"/>
          <w:sz w:val="32"/>
          <w:szCs w:val="32"/>
        </w:rPr>
        <w:t>则相关</w:t>
      </w:r>
      <w:proofErr w:type="gramEnd"/>
      <w:r>
        <w:rPr>
          <w:rFonts w:ascii="仿宋_GB2312" w:eastAsia="仿宋_GB2312" w:hAnsi="仿宋_GB2312" w:cs="仿宋_GB2312"/>
          <w:spacing w:val="6"/>
          <w:sz w:val="32"/>
          <w:szCs w:val="32"/>
        </w:rPr>
        <w:t>资金变动计</w:t>
      </w:r>
      <w:r>
        <w:rPr>
          <w:rFonts w:ascii="仿宋_GB2312" w:eastAsia="仿宋_GB2312" w:hAnsi="仿宋_GB2312" w:cs="仿宋_GB2312"/>
          <w:spacing w:val="6"/>
          <w:sz w:val="32"/>
          <w:szCs w:val="32"/>
        </w:rPr>
        <w:t>入</w:t>
      </w:r>
      <w:r>
        <w:rPr>
          <w:rFonts w:ascii="仿宋_GB2312" w:eastAsia="仿宋_GB2312" w:hAnsi="仿宋_GB2312" w:cs="仿宋_GB2312"/>
          <w:spacing w:val="6"/>
          <w:sz w:val="32"/>
          <w:szCs w:val="32"/>
        </w:rPr>
        <w:t>T+1</w:t>
      </w:r>
      <w:r>
        <w:rPr>
          <w:rFonts w:ascii="仿宋_GB2312" w:eastAsia="仿宋_GB2312" w:hAnsi="仿宋_GB2312" w:cs="仿宋_GB2312"/>
          <w:spacing w:val="6"/>
          <w:sz w:val="32"/>
          <w:szCs w:val="32"/>
        </w:rPr>
        <w:t>账务。</w:t>
      </w:r>
    </w:p>
    <w:p w:rsidR="0081436D" w:rsidRDefault="00BD165F" w:rsidP="005D01BD">
      <w:pPr>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spacing w:val="6"/>
          <w:sz w:val="32"/>
          <w:szCs w:val="32"/>
        </w:rPr>
        <w:t>如管理人或托管人发现理财产品估值违反约定的估值方法、程序及相关法律法规的规定或未能充分维护投资者利益时，应立即通知对方，共同查明原因，协商解决。</w:t>
      </w:r>
    </w:p>
    <w:p w:rsidR="0081436D" w:rsidRDefault="00BD165F" w:rsidP="005D01BD">
      <w:pPr>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spacing w:val="6"/>
          <w:sz w:val="32"/>
          <w:szCs w:val="32"/>
        </w:rPr>
        <w:t>在本协议存续期间，管理人应按照</w:t>
      </w:r>
      <w:r>
        <w:rPr>
          <w:rFonts w:ascii="仿宋_GB2312" w:eastAsia="仿宋_GB2312" w:hAnsi="仿宋_GB2312" w:cs="仿宋_GB2312"/>
          <w:sz w:val="32"/>
          <w:szCs w:val="32"/>
        </w:rPr>
        <w:t>国家金融监督管理总局</w:t>
      </w:r>
      <w:r>
        <w:rPr>
          <w:rFonts w:ascii="仿宋_GB2312" w:eastAsia="仿宋_GB2312" w:hAnsi="仿宋_GB2312" w:cs="仿宋_GB2312"/>
          <w:spacing w:val="6"/>
          <w:sz w:val="32"/>
          <w:szCs w:val="32"/>
        </w:rPr>
        <w:t>关于外部审计的相关规定，委托外部审计机构对理财业务和理财产品进行外部审计，并针对外部审计发现的问题及时采取整改措施。托管人应为上述工作的开展提供便利。</w:t>
      </w:r>
    </w:p>
    <w:p w:rsidR="0081436D" w:rsidRDefault="00BD165F" w:rsidP="005D01BD">
      <w:pPr>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spacing w:val="6"/>
          <w:sz w:val="32"/>
          <w:szCs w:val="32"/>
        </w:rPr>
        <w:t>（三）暂停估值的情形</w:t>
      </w:r>
    </w:p>
    <w:p w:rsidR="0081436D" w:rsidRDefault="00BD165F" w:rsidP="005D01BD">
      <w:pPr>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spacing w:val="6"/>
          <w:sz w:val="32"/>
          <w:szCs w:val="32"/>
        </w:rPr>
        <w:t>1.</w:t>
      </w:r>
      <w:r>
        <w:rPr>
          <w:rFonts w:ascii="仿宋_GB2312" w:eastAsia="仿宋_GB2312" w:hAnsi="仿宋_GB2312" w:cs="仿宋_GB2312"/>
          <w:spacing w:val="6"/>
          <w:sz w:val="32"/>
          <w:szCs w:val="32"/>
        </w:rPr>
        <w:t>理财产品财产投资所涉及的证券交易所遇法定节假日或因其它原因暂停营业时。</w:t>
      </w:r>
    </w:p>
    <w:p w:rsidR="0081436D" w:rsidRDefault="00BD165F" w:rsidP="005D01BD">
      <w:pPr>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spacing w:val="6"/>
          <w:sz w:val="32"/>
          <w:szCs w:val="32"/>
        </w:rPr>
        <w:t>2.</w:t>
      </w:r>
      <w:r>
        <w:rPr>
          <w:rFonts w:ascii="仿宋_GB2312" w:eastAsia="仿宋_GB2312" w:hAnsi="仿宋_GB2312" w:cs="仿宋_GB2312"/>
          <w:spacing w:val="6"/>
          <w:sz w:val="32"/>
          <w:szCs w:val="32"/>
        </w:rPr>
        <w:t>因其它任何不可抗力或证券交割清算制度变化等政策原因致使管理人无法按上述规定日期估值。</w:t>
      </w:r>
    </w:p>
    <w:p w:rsidR="0081436D" w:rsidRDefault="00BD165F" w:rsidP="005D01BD">
      <w:pPr>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spacing w:val="6"/>
          <w:sz w:val="32"/>
          <w:szCs w:val="32"/>
        </w:rPr>
        <w:t>3.</w:t>
      </w:r>
      <w:r>
        <w:rPr>
          <w:rFonts w:ascii="仿宋_GB2312" w:eastAsia="仿宋_GB2312" w:hAnsi="仿宋_GB2312" w:cs="仿宋_GB2312"/>
          <w:spacing w:val="6"/>
          <w:sz w:val="32"/>
          <w:szCs w:val="32"/>
        </w:rPr>
        <w:t>占理财产品财产相当比例的投资品种的估值出现重</w:t>
      </w:r>
      <w:r>
        <w:rPr>
          <w:rFonts w:ascii="仿宋_GB2312" w:eastAsia="仿宋_GB2312" w:hAnsi="仿宋_GB2312" w:cs="仿宋_GB2312"/>
          <w:spacing w:val="6"/>
          <w:sz w:val="32"/>
          <w:szCs w:val="32"/>
        </w:rPr>
        <w:lastRenderedPageBreak/>
        <w:t>大转变，管理人为保障投资者的利益，已决定授权管理人延迟估值时。</w:t>
      </w:r>
    </w:p>
    <w:p w:rsidR="0081436D" w:rsidRDefault="00BD165F" w:rsidP="005D01BD">
      <w:pPr>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spacing w:val="6"/>
          <w:sz w:val="32"/>
          <w:szCs w:val="32"/>
        </w:rPr>
        <w:t>4.</w:t>
      </w:r>
      <w:r>
        <w:rPr>
          <w:rFonts w:ascii="仿宋_GB2312" w:eastAsia="仿宋_GB2312" w:hAnsi="仿宋_GB2312" w:cs="仿宋_GB2312"/>
          <w:spacing w:val="6"/>
          <w:sz w:val="32"/>
          <w:szCs w:val="32"/>
        </w:rPr>
        <w:t>对于开放式理财产品，在前一估值日内，理财产品资产净值</w:t>
      </w:r>
      <w:r>
        <w:rPr>
          <w:rFonts w:ascii="仿宋_GB2312" w:eastAsia="仿宋_GB2312" w:hAnsi="仿宋_GB2312" w:cs="仿宋_GB2312"/>
          <w:spacing w:val="6"/>
          <w:sz w:val="32"/>
          <w:szCs w:val="32"/>
        </w:rPr>
        <w:t>50%</w:t>
      </w:r>
      <w:r>
        <w:rPr>
          <w:rFonts w:ascii="仿宋_GB2312" w:eastAsia="仿宋_GB2312" w:hAnsi="仿宋_GB2312" w:cs="仿宋_GB2312"/>
          <w:spacing w:val="6"/>
          <w:sz w:val="32"/>
          <w:szCs w:val="32"/>
        </w:rPr>
        <w:t>以上的资产不具备活跃交易市场或者在活跃市场中无报价，且不能采用估值技术可靠计量公允价值的，管理人应当暂停理财产品估值，并采取延缓支付赎回款项或暂停接受理财产品认</w:t>
      </w:r>
      <w:r>
        <w:rPr>
          <w:rFonts w:ascii="仿宋_GB2312" w:eastAsia="仿宋_GB2312" w:hAnsi="仿宋_GB2312" w:cs="仿宋_GB2312"/>
          <w:spacing w:val="6"/>
          <w:sz w:val="32"/>
          <w:szCs w:val="32"/>
        </w:rPr>
        <w:t>/</w:t>
      </w:r>
      <w:r>
        <w:rPr>
          <w:rFonts w:ascii="仿宋_GB2312" w:eastAsia="仿宋_GB2312" w:hAnsi="仿宋_GB2312" w:cs="仿宋_GB2312"/>
          <w:spacing w:val="6"/>
          <w:sz w:val="32"/>
          <w:szCs w:val="32"/>
        </w:rPr>
        <w:t>申购、赎回申请等措施。</w:t>
      </w:r>
    </w:p>
    <w:p w:rsidR="0081436D" w:rsidRDefault="00BD165F" w:rsidP="005D01BD">
      <w:pPr>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spacing w:val="6"/>
          <w:sz w:val="32"/>
          <w:szCs w:val="32"/>
        </w:rPr>
        <w:t>5.</w:t>
      </w:r>
      <w:r>
        <w:rPr>
          <w:rFonts w:ascii="仿宋_GB2312" w:eastAsia="仿宋_GB2312" w:hAnsi="仿宋_GB2312" w:cs="仿宋_GB2312"/>
          <w:spacing w:val="6"/>
          <w:sz w:val="32"/>
          <w:szCs w:val="32"/>
        </w:rPr>
        <w:t>监管机构和理财产品说明书规定的其他情形。</w:t>
      </w:r>
    </w:p>
    <w:p w:rsidR="0081436D" w:rsidRDefault="00BD165F" w:rsidP="005D01BD">
      <w:pPr>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spacing w:val="6"/>
          <w:sz w:val="32"/>
          <w:szCs w:val="32"/>
        </w:rPr>
        <w:t>（四）理财产品份</w:t>
      </w:r>
      <w:r>
        <w:rPr>
          <w:rFonts w:ascii="仿宋_GB2312" w:eastAsia="仿宋_GB2312" w:hAnsi="仿宋_GB2312" w:cs="仿宋_GB2312"/>
          <w:spacing w:val="6"/>
          <w:sz w:val="32"/>
          <w:szCs w:val="32"/>
        </w:rPr>
        <w:t>额净值估值错误的处理方式</w:t>
      </w:r>
    </w:p>
    <w:p w:rsidR="0081436D" w:rsidRDefault="00BD165F" w:rsidP="005D01BD">
      <w:pPr>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spacing w:val="6"/>
          <w:sz w:val="32"/>
          <w:szCs w:val="32"/>
        </w:rPr>
        <w:t>1.</w:t>
      </w:r>
      <w:r>
        <w:rPr>
          <w:rFonts w:ascii="仿宋_GB2312" w:eastAsia="仿宋_GB2312" w:hAnsi="仿宋_GB2312" w:cs="仿宋_GB2312"/>
          <w:spacing w:val="6"/>
          <w:sz w:val="32"/>
          <w:szCs w:val="32"/>
        </w:rPr>
        <w:t>当管理人确认已经发生估值错误情形时，管理人立即通告、予以纠正，并采取合理的措施防止损失进一步扩大。</w:t>
      </w:r>
    </w:p>
    <w:p w:rsidR="0081436D" w:rsidRDefault="00BD165F" w:rsidP="005D01BD">
      <w:pPr>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spacing w:val="6"/>
          <w:sz w:val="32"/>
          <w:szCs w:val="32"/>
        </w:rPr>
        <w:t>2.</w:t>
      </w:r>
      <w:r>
        <w:rPr>
          <w:rFonts w:ascii="仿宋_GB2312" w:eastAsia="仿宋_GB2312" w:hAnsi="仿宋_GB2312" w:cs="仿宋_GB2312"/>
          <w:spacing w:val="6"/>
          <w:sz w:val="32"/>
          <w:szCs w:val="32"/>
        </w:rPr>
        <w:t>如无特殊约定，当理财产品单位净值小数点后</w:t>
      </w:r>
      <w:r>
        <w:rPr>
          <w:rFonts w:ascii="仿宋_GB2312" w:eastAsia="仿宋_GB2312" w:hAnsi="仿宋_GB2312" w:cs="仿宋_GB2312"/>
          <w:spacing w:val="6"/>
          <w:sz w:val="32"/>
          <w:szCs w:val="32"/>
        </w:rPr>
        <w:t>4</w:t>
      </w:r>
      <w:r>
        <w:rPr>
          <w:rFonts w:ascii="仿宋_GB2312" w:eastAsia="仿宋_GB2312" w:hAnsi="仿宋_GB2312" w:cs="仿宋_GB2312"/>
          <w:spacing w:val="6"/>
          <w:sz w:val="32"/>
          <w:szCs w:val="32"/>
        </w:rPr>
        <w:t>位以内</w:t>
      </w:r>
      <w:r>
        <w:rPr>
          <w:rFonts w:ascii="仿宋_GB2312" w:eastAsia="仿宋_GB2312" w:hAnsi="仿宋_GB2312" w:cs="仿宋_GB2312"/>
          <w:spacing w:val="6"/>
          <w:sz w:val="32"/>
          <w:szCs w:val="32"/>
        </w:rPr>
        <w:t>(</w:t>
      </w:r>
      <w:r>
        <w:rPr>
          <w:rFonts w:ascii="仿宋_GB2312" w:eastAsia="仿宋_GB2312" w:hAnsi="仿宋_GB2312" w:cs="仿宋_GB2312"/>
          <w:spacing w:val="6"/>
          <w:sz w:val="32"/>
          <w:szCs w:val="32"/>
        </w:rPr>
        <w:t>含第</w:t>
      </w:r>
      <w:r>
        <w:rPr>
          <w:rFonts w:ascii="仿宋_GB2312" w:eastAsia="仿宋_GB2312" w:hAnsi="仿宋_GB2312" w:cs="仿宋_GB2312"/>
          <w:spacing w:val="6"/>
          <w:sz w:val="32"/>
          <w:szCs w:val="32"/>
        </w:rPr>
        <w:t>4</w:t>
      </w:r>
      <w:r>
        <w:rPr>
          <w:rFonts w:ascii="仿宋_GB2312" w:eastAsia="仿宋_GB2312" w:hAnsi="仿宋_GB2312" w:cs="仿宋_GB2312"/>
          <w:spacing w:val="6"/>
          <w:sz w:val="32"/>
          <w:szCs w:val="32"/>
        </w:rPr>
        <w:t>位</w:t>
      </w:r>
      <w:r>
        <w:rPr>
          <w:rFonts w:ascii="仿宋_GB2312" w:eastAsia="仿宋_GB2312" w:hAnsi="仿宋_GB2312" w:cs="仿宋_GB2312"/>
          <w:spacing w:val="6"/>
          <w:sz w:val="32"/>
          <w:szCs w:val="32"/>
        </w:rPr>
        <w:t>)</w:t>
      </w:r>
      <w:r>
        <w:rPr>
          <w:rFonts w:ascii="仿宋_GB2312" w:eastAsia="仿宋_GB2312" w:hAnsi="仿宋_GB2312" w:cs="仿宋_GB2312"/>
          <w:spacing w:val="6"/>
          <w:sz w:val="32"/>
          <w:szCs w:val="32"/>
        </w:rPr>
        <w:t>发生差错时，视为理财产品单位净值错误，若理财产品说明书对单位净值保留位数有特殊约定的，单位净值小数位数以内发生差错，也视为理财产品单位净值错误。理财产品单位净值出现错误时，管理人和托管人应积极进行核对，并采取合理的措施防止损失进一步扩大。</w:t>
      </w:r>
    </w:p>
    <w:p w:rsidR="0081436D" w:rsidRDefault="00BD165F" w:rsidP="005D01BD">
      <w:pPr>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spacing w:val="6"/>
          <w:sz w:val="32"/>
          <w:szCs w:val="32"/>
        </w:rPr>
        <w:t>3.</w:t>
      </w:r>
      <w:r>
        <w:rPr>
          <w:rFonts w:ascii="仿宋_GB2312" w:eastAsia="仿宋_GB2312" w:hAnsi="仿宋_GB2312" w:cs="仿宋_GB2312"/>
          <w:spacing w:val="6"/>
          <w:sz w:val="32"/>
          <w:szCs w:val="32"/>
        </w:rPr>
        <w:t>当理财产品单位净值计算差错给理财产品投资者造成损失需要进行赔偿时，经确认后</w:t>
      </w:r>
      <w:r>
        <w:rPr>
          <w:rFonts w:ascii="仿宋_GB2312" w:eastAsia="仿宋_GB2312" w:hAnsi="仿宋_GB2312" w:cs="仿宋_GB2312"/>
          <w:spacing w:val="6"/>
          <w:sz w:val="32"/>
          <w:szCs w:val="32"/>
        </w:rPr>
        <w:t>按以下条款进行赔偿：</w:t>
      </w:r>
    </w:p>
    <w:p w:rsidR="0081436D" w:rsidRDefault="00BD165F" w:rsidP="005D01BD">
      <w:pPr>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spacing w:val="6"/>
          <w:sz w:val="32"/>
          <w:szCs w:val="32"/>
        </w:rPr>
        <w:t>（</w:t>
      </w:r>
      <w:r>
        <w:rPr>
          <w:rFonts w:ascii="仿宋_GB2312" w:eastAsia="仿宋_GB2312" w:hAnsi="仿宋_GB2312" w:cs="仿宋_GB2312"/>
          <w:spacing w:val="6"/>
          <w:sz w:val="32"/>
          <w:szCs w:val="32"/>
        </w:rPr>
        <w:t>1</w:t>
      </w:r>
      <w:r>
        <w:rPr>
          <w:rFonts w:ascii="仿宋_GB2312" w:eastAsia="仿宋_GB2312" w:hAnsi="仿宋_GB2312" w:cs="仿宋_GB2312"/>
          <w:spacing w:val="6"/>
          <w:sz w:val="32"/>
          <w:szCs w:val="32"/>
        </w:rPr>
        <w:t>）对于管理人和托管人双方共同原因，造成与理财产品有关的差错，经双方在平等基础上充分讨论后，按实际情况进行责任划分与处理。</w:t>
      </w:r>
    </w:p>
    <w:p w:rsidR="0081436D" w:rsidRDefault="00BD165F" w:rsidP="005D01BD">
      <w:pPr>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spacing w:val="6"/>
          <w:sz w:val="32"/>
          <w:szCs w:val="32"/>
        </w:rPr>
        <w:lastRenderedPageBreak/>
        <w:t>（</w:t>
      </w:r>
      <w:r>
        <w:rPr>
          <w:rFonts w:ascii="仿宋_GB2312" w:eastAsia="仿宋_GB2312" w:hAnsi="仿宋_GB2312" w:cs="仿宋_GB2312"/>
          <w:spacing w:val="6"/>
          <w:sz w:val="32"/>
          <w:szCs w:val="32"/>
        </w:rPr>
        <w:t>2</w:t>
      </w:r>
      <w:r>
        <w:rPr>
          <w:rFonts w:ascii="仿宋_GB2312" w:eastAsia="仿宋_GB2312" w:hAnsi="仿宋_GB2312" w:cs="仿宋_GB2312"/>
          <w:spacing w:val="6"/>
          <w:sz w:val="32"/>
          <w:szCs w:val="32"/>
        </w:rPr>
        <w:t>）由于管理人提供的信息错误（包括但不限于理财资产转让、收益分配等），进而导致理财产品单位净值计算错误而引起的投资者损失，托管人不承担赔偿责任。</w:t>
      </w:r>
    </w:p>
    <w:p w:rsidR="0081436D" w:rsidRDefault="00BD165F" w:rsidP="005D01BD">
      <w:pPr>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spacing w:val="6"/>
          <w:sz w:val="32"/>
          <w:szCs w:val="32"/>
        </w:rPr>
        <w:t>（</w:t>
      </w:r>
      <w:r>
        <w:rPr>
          <w:rFonts w:ascii="仿宋_GB2312" w:eastAsia="仿宋_GB2312" w:hAnsi="仿宋_GB2312" w:cs="仿宋_GB2312"/>
          <w:spacing w:val="6"/>
          <w:sz w:val="32"/>
          <w:szCs w:val="32"/>
        </w:rPr>
        <w:t>3</w:t>
      </w:r>
      <w:r>
        <w:rPr>
          <w:rFonts w:ascii="仿宋_GB2312" w:eastAsia="仿宋_GB2312" w:hAnsi="仿宋_GB2312" w:cs="仿宋_GB2312"/>
          <w:spacing w:val="6"/>
          <w:sz w:val="32"/>
          <w:szCs w:val="32"/>
        </w:rPr>
        <w:t>）由于证券交易所、登记结算公司或相关第三方机构发送的数据错误、有关会计制度变化或由于其他不可抗力原因，管理人和托管人虽然已经采取必要、适当、合理的措施进行检查，但是未能发现该错误而造成的理财产品单位净值计算错误，</w:t>
      </w:r>
      <w:r>
        <w:rPr>
          <w:rFonts w:ascii="仿宋_GB2312" w:eastAsia="仿宋_GB2312" w:hAnsi="仿宋_GB2312" w:cs="仿宋_GB2312"/>
          <w:spacing w:val="6"/>
          <w:sz w:val="32"/>
          <w:szCs w:val="32"/>
        </w:rPr>
        <w:t>管理人和托管人免责。但管理人和托管人应积极采取必要的措施消除</w:t>
      </w:r>
      <w:r>
        <w:rPr>
          <w:rFonts w:ascii="仿宋_GB2312" w:eastAsia="仿宋_GB2312" w:hAnsi="仿宋_GB2312" w:cs="仿宋_GB2312" w:hint="eastAsia"/>
          <w:spacing w:val="6"/>
          <w:sz w:val="32"/>
          <w:szCs w:val="32"/>
        </w:rPr>
        <w:t>或减轻</w:t>
      </w:r>
      <w:r>
        <w:rPr>
          <w:rFonts w:ascii="仿宋_GB2312" w:eastAsia="仿宋_GB2312" w:hAnsi="仿宋_GB2312" w:cs="仿宋_GB2312"/>
          <w:spacing w:val="6"/>
          <w:sz w:val="32"/>
          <w:szCs w:val="32"/>
        </w:rPr>
        <w:t>由此造成的影响。</w:t>
      </w:r>
    </w:p>
    <w:p w:rsidR="0081436D" w:rsidRDefault="00BD165F" w:rsidP="005D01BD">
      <w:pPr>
        <w:widowControl w:val="0"/>
        <w:spacing w:line="590" w:lineRule="exact"/>
        <w:ind w:firstLineChars="200" w:firstLine="652"/>
        <w:jc w:val="both"/>
        <w:rPr>
          <w:rFonts w:ascii="仿宋_GB2312" w:eastAsia="仿宋_GB2312" w:hAnsi="仿宋_GB2312" w:cs="仿宋_GB2312"/>
          <w:sz w:val="32"/>
          <w:szCs w:val="32"/>
        </w:rPr>
      </w:pPr>
      <w:r>
        <w:rPr>
          <w:rFonts w:ascii="仿宋_GB2312" w:eastAsia="仿宋_GB2312" w:hAnsi="仿宋_GB2312" w:cs="仿宋_GB2312"/>
          <w:spacing w:val="6"/>
          <w:sz w:val="32"/>
          <w:szCs w:val="32"/>
        </w:rPr>
        <w:t>4.</w:t>
      </w:r>
      <w:r>
        <w:rPr>
          <w:rFonts w:ascii="仿宋_GB2312" w:eastAsia="仿宋_GB2312" w:hAnsi="仿宋_GB2312" w:cs="仿宋_GB2312"/>
          <w:spacing w:val="6"/>
          <w:sz w:val="32"/>
          <w:szCs w:val="32"/>
        </w:rPr>
        <w:t>前述内容法律法规或者监管机构另有规定的，从其规定。如果行业有通行做法，双方当事人应本着平等和保护投资者利益的原则进行协商。</w:t>
      </w:r>
    </w:p>
    <w:p w:rsidR="0081436D" w:rsidRDefault="0081436D" w:rsidP="005D01BD">
      <w:pPr>
        <w:widowControl w:val="0"/>
        <w:spacing w:line="590" w:lineRule="exact"/>
        <w:ind w:firstLineChars="200" w:firstLine="652"/>
        <w:jc w:val="both"/>
        <w:rPr>
          <w:rFonts w:ascii="仿宋_GB2312" w:eastAsia="仿宋_GB2312" w:hAnsi="仿宋_GB2312" w:cs="仿宋_GB2312"/>
          <w:spacing w:val="6"/>
          <w:sz w:val="32"/>
          <w:szCs w:val="32"/>
        </w:rPr>
      </w:pPr>
    </w:p>
    <w:p w:rsidR="0081436D" w:rsidRDefault="00BD165F">
      <w:pPr>
        <w:pStyle w:val="1"/>
        <w:tabs>
          <w:tab w:val="clear" w:pos="0"/>
          <w:tab w:val="clear" w:pos="5246"/>
        </w:tabs>
        <w:spacing w:before="0" w:line="590" w:lineRule="exact"/>
        <w:ind w:left="0"/>
        <w:jc w:val="center"/>
        <w:rPr>
          <w:rFonts w:ascii="仿宋_GB2312" w:eastAsia="仿宋_GB2312" w:hAnsi="仿宋_GB2312"/>
          <w:sz w:val="32"/>
          <w:szCs w:val="32"/>
        </w:rPr>
      </w:pPr>
      <w:bookmarkStart w:id="148" w:name="_Toc27732"/>
      <w:bookmarkStart w:id="149" w:name="_Toc23429"/>
      <w:bookmarkStart w:id="150" w:name="_Toc1484"/>
      <w:bookmarkStart w:id="151" w:name="_Toc17837"/>
      <w:bookmarkStart w:id="152" w:name="_Toc19256"/>
      <w:bookmarkStart w:id="153" w:name="_Toc12406"/>
      <w:r>
        <w:rPr>
          <w:rFonts w:ascii="仿宋_GB2312" w:eastAsia="仿宋_GB2312" w:hAnsi="仿宋_GB2312"/>
          <w:sz w:val="32"/>
          <w:szCs w:val="32"/>
        </w:rPr>
        <w:t>投资监督</w:t>
      </w:r>
      <w:bookmarkEnd w:id="148"/>
      <w:bookmarkEnd w:id="149"/>
      <w:bookmarkEnd w:id="150"/>
      <w:bookmarkEnd w:id="151"/>
      <w:bookmarkEnd w:id="152"/>
      <w:bookmarkEnd w:id="153"/>
    </w:p>
    <w:p w:rsidR="0081436D" w:rsidRDefault="00BD165F" w:rsidP="005D01BD">
      <w:pPr>
        <w:widowControl w:val="0"/>
        <w:spacing w:line="590" w:lineRule="exact"/>
        <w:ind w:firstLineChars="200" w:firstLine="652"/>
        <w:jc w:val="both"/>
        <w:rPr>
          <w:rFonts w:ascii="仿宋_GB2312" w:eastAsia="仿宋_GB2312" w:hAnsi="仿宋_GB2312" w:cs="仿宋_GB2312"/>
          <w:bCs/>
          <w:color w:val="000000"/>
          <w:spacing w:val="6"/>
          <w:sz w:val="32"/>
          <w:szCs w:val="32"/>
        </w:rPr>
      </w:pPr>
      <w:r>
        <w:rPr>
          <w:rFonts w:ascii="仿宋_GB2312" w:eastAsia="仿宋_GB2312" w:hAnsi="仿宋_GB2312" w:cs="仿宋_GB2312"/>
          <w:bCs/>
          <w:color w:val="000000"/>
          <w:spacing w:val="6"/>
          <w:sz w:val="32"/>
          <w:szCs w:val="32"/>
        </w:rPr>
        <w:t>（一）监督与核查的内容</w:t>
      </w:r>
    </w:p>
    <w:p w:rsidR="0081436D" w:rsidRDefault="00BD165F" w:rsidP="005D01BD">
      <w:pPr>
        <w:widowControl w:val="0"/>
        <w:spacing w:line="590" w:lineRule="exact"/>
        <w:ind w:firstLineChars="200" w:firstLine="652"/>
        <w:jc w:val="both"/>
        <w:rPr>
          <w:rFonts w:ascii="仿宋_GB2312" w:eastAsia="仿宋_GB2312" w:hAnsi="仿宋_GB2312" w:cs="仿宋_GB2312"/>
          <w:bCs/>
          <w:spacing w:val="6"/>
          <w:sz w:val="32"/>
          <w:szCs w:val="32"/>
        </w:rPr>
      </w:pPr>
      <w:r>
        <w:rPr>
          <w:rFonts w:ascii="仿宋_GB2312" w:eastAsia="仿宋_GB2312" w:hAnsi="仿宋_GB2312" w:cs="仿宋_GB2312"/>
          <w:bCs/>
          <w:spacing w:val="6"/>
          <w:sz w:val="32"/>
          <w:szCs w:val="32"/>
        </w:rPr>
        <w:t>管理人根据有关法律法规规定、本协议的要求，</w:t>
      </w:r>
      <w:r>
        <w:rPr>
          <w:rFonts w:ascii="仿宋_GB2312" w:eastAsia="仿宋_GB2312" w:hAnsi="仿宋_GB2312" w:cs="仿宋_GB2312" w:hint="eastAsia"/>
          <w:bCs/>
          <w:spacing w:val="6"/>
          <w:sz w:val="32"/>
          <w:szCs w:val="32"/>
        </w:rPr>
        <w:t>在理财产品成立前至少</w:t>
      </w:r>
      <w:r>
        <w:rPr>
          <w:rFonts w:ascii="仿宋_GB2312" w:eastAsia="仿宋_GB2312" w:hAnsi="仿宋_GB2312" w:cs="仿宋_GB2312"/>
          <w:bCs/>
          <w:spacing w:val="6"/>
          <w:sz w:val="32"/>
          <w:szCs w:val="32"/>
        </w:rPr>
        <w:t>3</w:t>
      </w:r>
      <w:r>
        <w:rPr>
          <w:rFonts w:ascii="仿宋_GB2312" w:eastAsia="仿宋_GB2312" w:hAnsi="仿宋_GB2312" w:cs="仿宋_GB2312"/>
          <w:bCs/>
          <w:spacing w:val="6"/>
          <w:sz w:val="32"/>
          <w:szCs w:val="32"/>
        </w:rPr>
        <w:t>个工作日，</w:t>
      </w:r>
      <w:r>
        <w:rPr>
          <w:rFonts w:ascii="仿宋_GB2312" w:eastAsia="仿宋_GB2312" w:hAnsi="仿宋_GB2312" w:cs="仿宋_GB2312" w:hint="eastAsia"/>
          <w:bCs/>
          <w:spacing w:val="6"/>
          <w:sz w:val="32"/>
          <w:szCs w:val="32"/>
        </w:rPr>
        <w:t>通过以</w:t>
      </w:r>
      <w:r>
        <w:rPr>
          <w:rFonts w:ascii="仿宋_GB2312" w:eastAsia="仿宋_GB2312" w:hAnsi="仿宋_GB2312" w:cs="仿宋_GB2312"/>
          <w:bCs/>
          <w:spacing w:val="6"/>
          <w:sz w:val="32"/>
          <w:szCs w:val="32"/>
        </w:rPr>
        <w:t>@cebwm.com</w:t>
      </w:r>
      <w:r>
        <w:rPr>
          <w:rFonts w:ascii="仿宋_GB2312" w:eastAsia="仿宋_GB2312" w:hAnsi="仿宋_GB2312" w:cs="仿宋_GB2312"/>
          <w:bCs/>
          <w:spacing w:val="6"/>
          <w:sz w:val="32"/>
          <w:szCs w:val="32"/>
        </w:rPr>
        <w:t>为后缀的</w:t>
      </w:r>
      <w:r>
        <w:rPr>
          <w:rFonts w:ascii="仿宋_GB2312" w:eastAsia="仿宋_GB2312" w:hAnsi="仿宋_GB2312" w:cs="仿宋_GB2312" w:hint="eastAsia"/>
          <w:bCs/>
          <w:spacing w:val="6"/>
          <w:sz w:val="32"/>
          <w:szCs w:val="32"/>
        </w:rPr>
        <w:t>邮箱</w:t>
      </w:r>
      <w:r>
        <w:rPr>
          <w:rFonts w:ascii="仿宋_GB2312" w:eastAsia="仿宋_GB2312" w:hAnsi="仿宋_GB2312" w:cs="仿宋_GB2312"/>
          <w:bCs/>
          <w:spacing w:val="6"/>
          <w:sz w:val="32"/>
          <w:szCs w:val="32"/>
        </w:rPr>
        <w:t>向托管人</w:t>
      </w:r>
      <w:r>
        <w:rPr>
          <w:rFonts w:ascii="仿宋_GB2312" w:eastAsia="仿宋_GB2312" w:hAnsi="仿宋_GB2312" w:cs="仿宋_GB2312" w:hint="eastAsia"/>
          <w:bCs/>
          <w:spacing w:val="6"/>
          <w:sz w:val="32"/>
          <w:szCs w:val="32"/>
        </w:rPr>
        <w:t>发送</w:t>
      </w:r>
      <w:r>
        <w:rPr>
          <w:rFonts w:ascii="仿宋_GB2312" w:eastAsia="仿宋_GB2312" w:hAnsi="仿宋_GB2312" w:cs="仿宋_GB2312"/>
          <w:bCs/>
          <w:spacing w:val="6"/>
          <w:sz w:val="32"/>
          <w:szCs w:val="32"/>
        </w:rPr>
        <w:t>具体理财产品的</w:t>
      </w:r>
      <w:r>
        <w:rPr>
          <w:rFonts w:ascii="仿宋_GB2312" w:eastAsia="仿宋_GB2312" w:hAnsi="仿宋_GB2312" w:cs="仿宋_GB2312" w:hint="eastAsia"/>
          <w:bCs/>
          <w:spacing w:val="6"/>
          <w:sz w:val="32"/>
          <w:szCs w:val="32"/>
        </w:rPr>
        <w:t>理财产品说明书</w:t>
      </w:r>
      <w:r>
        <w:rPr>
          <w:rFonts w:ascii="仿宋_GB2312" w:eastAsia="仿宋_GB2312" w:hAnsi="仿宋_GB2312" w:cs="仿宋_GB2312"/>
          <w:bCs/>
          <w:spacing w:val="6"/>
          <w:sz w:val="32"/>
          <w:szCs w:val="32"/>
        </w:rPr>
        <w:t>，托管人在收到</w:t>
      </w:r>
      <w:r>
        <w:rPr>
          <w:rFonts w:ascii="仿宋_GB2312" w:eastAsia="仿宋_GB2312" w:hAnsi="仿宋_GB2312" w:cs="仿宋_GB2312" w:hint="eastAsia"/>
          <w:bCs/>
          <w:spacing w:val="6"/>
          <w:sz w:val="32"/>
          <w:szCs w:val="32"/>
        </w:rPr>
        <w:t>理财产品说明书</w:t>
      </w:r>
      <w:r>
        <w:rPr>
          <w:rFonts w:ascii="仿宋_GB2312" w:eastAsia="仿宋_GB2312" w:hAnsi="仿宋_GB2312" w:cs="仿宋_GB2312"/>
          <w:bCs/>
          <w:spacing w:val="6"/>
          <w:sz w:val="32"/>
          <w:szCs w:val="32"/>
        </w:rPr>
        <w:t>后</w:t>
      </w:r>
      <w:r>
        <w:rPr>
          <w:rFonts w:ascii="仿宋_GB2312" w:eastAsia="仿宋_GB2312" w:hAnsi="仿宋_GB2312" w:cs="仿宋_GB2312"/>
          <w:bCs/>
          <w:spacing w:val="6"/>
          <w:sz w:val="32"/>
          <w:szCs w:val="32"/>
        </w:rPr>
        <w:t>3</w:t>
      </w:r>
      <w:r>
        <w:rPr>
          <w:rFonts w:ascii="仿宋_GB2312" w:eastAsia="仿宋_GB2312" w:hAnsi="仿宋_GB2312" w:cs="仿宋_GB2312"/>
          <w:bCs/>
          <w:spacing w:val="6"/>
          <w:sz w:val="32"/>
          <w:szCs w:val="32"/>
        </w:rPr>
        <w:t>个工作日内回复邮件予以确认，若无异议，托管人以此作为监督投资运作的依据。若存在异议，托管人应及时向管理人反馈意见。</w:t>
      </w:r>
      <w:r>
        <w:rPr>
          <w:rFonts w:ascii="仿宋_GB2312" w:eastAsia="仿宋_GB2312" w:hAnsi="仿宋_GB2312" w:cs="仿宋_GB2312" w:hint="eastAsia"/>
          <w:bCs/>
          <w:color w:val="000000"/>
          <w:spacing w:val="6"/>
          <w:sz w:val="32"/>
          <w:szCs w:val="32"/>
        </w:rPr>
        <w:t>对于托管人的反馈意见，管理人可视情况调整理财产品相关文件内容，并通知托管人。双方也可以书面形式另行约定反馈意</w:t>
      </w:r>
      <w:r>
        <w:rPr>
          <w:rFonts w:ascii="仿宋_GB2312" w:eastAsia="仿宋_GB2312" w:hAnsi="仿宋_GB2312" w:cs="仿宋_GB2312" w:hint="eastAsia"/>
          <w:bCs/>
          <w:color w:val="000000"/>
          <w:spacing w:val="6"/>
          <w:sz w:val="32"/>
          <w:szCs w:val="32"/>
        </w:rPr>
        <w:lastRenderedPageBreak/>
        <w:t>见相关内容。托管人按照理财产品说明书及其他书面约定（如有）履行了相应义务即完成了本协议项下的监督和核查义务。</w:t>
      </w:r>
      <w:r>
        <w:rPr>
          <w:rFonts w:ascii="仿宋_GB2312" w:eastAsia="仿宋_GB2312" w:hAnsi="仿宋_GB2312" w:cs="仿宋_GB2312"/>
          <w:bCs/>
          <w:spacing w:val="6"/>
          <w:sz w:val="32"/>
          <w:szCs w:val="32"/>
        </w:rPr>
        <w:t>托管人根据法律法规规定和管理人发送的</w:t>
      </w:r>
      <w:r>
        <w:rPr>
          <w:rFonts w:ascii="仿宋_GB2312" w:eastAsia="仿宋_GB2312" w:hAnsi="仿宋_GB2312" w:cs="仿宋_GB2312" w:hint="eastAsia"/>
          <w:bCs/>
          <w:spacing w:val="6"/>
          <w:sz w:val="32"/>
          <w:szCs w:val="32"/>
        </w:rPr>
        <w:t>理财产品说明书</w:t>
      </w:r>
      <w:r>
        <w:rPr>
          <w:rFonts w:ascii="仿宋_GB2312" w:eastAsia="仿宋_GB2312" w:hAnsi="仿宋_GB2312" w:cs="仿宋_GB2312"/>
          <w:bCs/>
          <w:spacing w:val="6"/>
          <w:sz w:val="32"/>
          <w:szCs w:val="32"/>
        </w:rPr>
        <w:t>对理财产品的投资范围、投资比例和投资限制等事项进行监督。对于个性化监督事项，管理人应事先与托管人协商达成书面一致，如有必要，管理人应明确相应计算公式及数据来源。</w:t>
      </w:r>
      <w:r>
        <w:rPr>
          <w:rFonts w:ascii="仿宋_GB2312" w:eastAsia="仿宋_GB2312" w:hAnsi="仿宋_GB2312" w:cs="仿宋_GB2312" w:hint="eastAsia"/>
          <w:bCs/>
          <w:spacing w:val="6"/>
          <w:sz w:val="32"/>
          <w:szCs w:val="32"/>
        </w:rPr>
        <w:t>对于超出双方约定的事项，托管人不承担监督职责。</w:t>
      </w:r>
    </w:p>
    <w:p w:rsidR="0081436D" w:rsidRDefault="00BD165F" w:rsidP="005D01BD">
      <w:pPr>
        <w:widowControl w:val="0"/>
        <w:spacing w:line="590" w:lineRule="exact"/>
        <w:ind w:firstLineChars="200" w:firstLine="652"/>
        <w:jc w:val="both"/>
        <w:rPr>
          <w:rFonts w:ascii="仿宋_GB2312" w:eastAsia="仿宋_GB2312" w:hAnsi="仿宋_GB2312" w:cs="仿宋_GB2312"/>
          <w:bCs/>
          <w:spacing w:val="6"/>
          <w:sz w:val="32"/>
          <w:szCs w:val="32"/>
        </w:rPr>
      </w:pPr>
      <w:r>
        <w:rPr>
          <w:rFonts w:ascii="仿宋_GB2312" w:eastAsia="仿宋_GB2312" w:hAnsi="仿宋_GB2312" w:cs="仿宋_GB2312" w:hint="eastAsia"/>
          <w:bCs/>
          <w:spacing w:val="6"/>
          <w:sz w:val="32"/>
          <w:szCs w:val="32"/>
        </w:rPr>
        <w:t>管理人同意并确认，监督事项以理财产品说明书为准，托管人按照理财产品说明书配置规则对比例限制进行事后监督；投资</w:t>
      </w:r>
      <w:proofErr w:type="gramStart"/>
      <w:r>
        <w:rPr>
          <w:rFonts w:ascii="仿宋_GB2312" w:eastAsia="仿宋_GB2312" w:hAnsi="仿宋_GB2312" w:cs="仿宋_GB2312" w:hint="eastAsia"/>
          <w:bCs/>
          <w:spacing w:val="6"/>
          <w:sz w:val="32"/>
          <w:szCs w:val="32"/>
        </w:rPr>
        <w:t>资</w:t>
      </w:r>
      <w:proofErr w:type="gramEnd"/>
      <w:r>
        <w:rPr>
          <w:rFonts w:ascii="仿宋_GB2312" w:eastAsia="仿宋_GB2312" w:hAnsi="仿宋_GB2312" w:cs="仿宋_GB2312" w:hint="eastAsia"/>
          <w:bCs/>
          <w:spacing w:val="6"/>
          <w:sz w:val="32"/>
          <w:szCs w:val="32"/>
        </w:rPr>
        <w:t>管计划、非标产品时托管人进行事中监督，管理人配合提供合同、缴款通知、申购单等附件。</w:t>
      </w:r>
    </w:p>
    <w:p w:rsidR="0081436D" w:rsidRDefault="00BD165F" w:rsidP="005D01BD">
      <w:pPr>
        <w:widowControl w:val="0"/>
        <w:spacing w:line="590" w:lineRule="exact"/>
        <w:ind w:firstLineChars="200" w:firstLine="652"/>
        <w:jc w:val="both"/>
        <w:rPr>
          <w:rFonts w:ascii="仿宋_GB2312" w:eastAsia="仿宋_GB2312" w:hAnsi="仿宋_GB2312" w:cs="仿宋_GB2312"/>
          <w:bCs/>
          <w:spacing w:val="6"/>
          <w:sz w:val="32"/>
          <w:szCs w:val="32"/>
        </w:rPr>
      </w:pPr>
      <w:r>
        <w:rPr>
          <w:rFonts w:ascii="仿宋_GB2312" w:eastAsia="仿宋_GB2312" w:hAnsi="仿宋_GB2312" w:cs="仿宋_GB2312" w:hint="eastAsia"/>
          <w:bCs/>
          <w:spacing w:val="6"/>
          <w:sz w:val="32"/>
          <w:szCs w:val="32"/>
        </w:rPr>
        <w:t>若理财产品说明书没有明确约定的，涉及到信用债券的评级指标，均参考最新债项评级，如果信用债券没有债项评级则参考主</w:t>
      </w:r>
      <w:r>
        <w:rPr>
          <w:rFonts w:ascii="仿宋_GB2312" w:eastAsia="仿宋_GB2312" w:hAnsi="仿宋_GB2312" w:cs="仿宋_GB2312" w:hint="eastAsia"/>
          <w:bCs/>
          <w:spacing w:val="6"/>
          <w:sz w:val="32"/>
          <w:szCs w:val="32"/>
        </w:rPr>
        <w:t>体评级。不同评级机构出具信用评级不一致的债券，按照孰低原则，参考最低信用评级结果（中债资信评级除外）。</w:t>
      </w:r>
    </w:p>
    <w:p w:rsidR="0081436D" w:rsidRDefault="00BD165F" w:rsidP="005D01BD">
      <w:pPr>
        <w:widowControl w:val="0"/>
        <w:spacing w:line="590" w:lineRule="exact"/>
        <w:ind w:firstLineChars="200" w:firstLine="652"/>
        <w:jc w:val="both"/>
        <w:rPr>
          <w:rFonts w:ascii="仿宋_GB2312" w:eastAsia="仿宋_GB2312" w:hAnsi="仿宋_GB2312" w:cs="仿宋_GB2312"/>
          <w:sz w:val="32"/>
          <w:szCs w:val="32"/>
        </w:rPr>
      </w:pPr>
      <w:r>
        <w:rPr>
          <w:rFonts w:ascii="仿宋_GB2312" w:eastAsia="仿宋_GB2312" w:hAnsi="仿宋_GB2312" w:cs="仿宋_GB2312" w:hint="eastAsia"/>
          <w:bCs/>
          <w:spacing w:val="6"/>
          <w:sz w:val="32"/>
          <w:szCs w:val="32"/>
        </w:rPr>
        <w:t>若理财产品说明书没有明确约定的，涉及到投资比例类的指标，则资产投资比例以资产估值结果占产品资产总值的比例计算。</w:t>
      </w:r>
    </w:p>
    <w:p w:rsidR="0081436D" w:rsidRDefault="00BD165F" w:rsidP="005D01BD">
      <w:pPr>
        <w:widowControl w:val="0"/>
        <w:spacing w:line="590" w:lineRule="exact"/>
        <w:ind w:firstLineChars="200" w:firstLine="652"/>
        <w:jc w:val="both"/>
        <w:rPr>
          <w:rFonts w:ascii="仿宋_GB2312" w:eastAsia="仿宋_GB2312" w:hAnsi="仿宋_GB2312" w:cs="仿宋_GB2312"/>
          <w:sz w:val="32"/>
          <w:szCs w:val="32"/>
        </w:rPr>
      </w:pPr>
      <w:r>
        <w:rPr>
          <w:rFonts w:ascii="仿宋_GB2312" w:eastAsia="仿宋_GB2312" w:hAnsi="仿宋_GB2312" w:cs="仿宋_GB2312"/>
          <w:spacing w:val="6"/>
          <w:sz w:val="32"/>
          <w:szCs w:val="32"/>
        </w:rPr>
        <w:t>管理人如需调整理财产品投资范围、投资比例或投资限制等，应与托管人协商一致，并将调整后的</w:t>
      </w:r>
      <w:r>
        <w:rPr>
          <w:rFonts w:ascii="仿宋_GB2312" w:eastAsia="仿宋_GB2312" w:hAnsi="仿宋_GB2312" w:cs="仿宋_GB2312" w:hint="eastAsia"/>
          <w:spacing w:val="6"/>
          <w:sz w:val="32"/>
          <w:szCs w:val="32"/>
        </w:rPr>
        <w:t>理财产品说明书或相关公告</w:t>
      </w:r>
      <w:r>
        <w:rPr>
          <w:rFonts w:ascii="仿宋_GB2312" w:eastAsia="仿宋_GB2312" w:hAnsi="仿宋_GB2312" w:cs="仿宋_GB2312"/>
          <w:spacing w:val="6"/>
          <w:sz w:val="32"/>
          <w:szCs w:val="32"/>
        </w:rPr>
        <w:t>发送给托管人</w:t>
      </w:r>
      <w:r>
        <w:rPr>
          <w:rFonts w:ascii="仿宋_GB2312" w:eastAsia="仿宋_GB2312" w:hAnsi="仿宋_GB2312" w:cs="仿宋_GB2312"/>
          <w:sz w:val="32"/>
          <w:szCs w:val="32"/>
        </w:rPr>
        <w:t>。</w:t>
      </w:r>
    </w:p>
    <w:p w:rsidR="0081436D" w:rsidRDefault="00BD165F" w:rsidP="005D01BD">
      <w:pPr>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spacing w:val="6"/>
          <w:sz w:val="32"/>
          <w:szCs w:val="32"/>
        </w:rPr>
        <w:lastRenderedPageBreak/>
        <w:t>管理人需为新品种或新标准的托管流程设计和系统开发上线预留足够准备时间。</w:t>
      </w:r>
    </w:p>
    <w:p w:rsidR="0081436D" w:rsidRDefault="00BD165F">
      <w:pPr>
        <w:widowControl w:val="0"/>
        <w:spacing w:line="59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sz w:val="32"/>
          <w:szCs w:val="32"/>
        </w:rPr>
        <w:t>管理人应当配合托管人提供投资监督所需数据和信息，并认可托管人采用</w:t>
      </w:r>
      <w:r>
        <w:rPr>
          <w:rFonts w:ascii="仿宋_GB2312" w:eastAsia="仿宋_GB2312" w:hAnsi="仿宋_GB2312" w:cs="仿宋_GB2312"/>
          <w:color w:val="000000"/>
          <w:sz w:val="32"/>
          <w:szCs w:val="32"/>
        </w:rPr>
        <w:t>投资交易、估值核算数据及</w:t>
      </w:r>
      <w:r>
        <w:rPr>
          <w:rFonts w:ascii="仿宋_GB2312" w:eastAsia="仿宋_GB2312" w:hAnsi="仿宋_GB2312" w:cs="仿宋_GB2312"/>
          <w:sz w:val="32"/>
          <w:szCs w:val="32"/>
        </w:rPr>
        <w:t>第三方机构</w:t>
      </w:r>
      <w:r>
        <w:rPr>
          <w:rFonts w:ascii="仿宋_GB2312" w:eastAsia="仿宋_GB2312" w:hAnsi="仿宋_GB2312" w:cs="仿宋_GB2312"/>
          <w:sz w:val="32"/>
          <w:szCs w:val="32"/>
        </w:rPr>
        <w:t>提供的数据和信息进行辅助以完成投资监督义务。</w:t>
      </w:r>
      <w:r>
        <w:rPr>
          <w:rFonts w:ascii="仿宋_GB2312" w:eastAsia="仿宋_GB2312" w:hAnsi="仿宋_GB2312" w:cs="仿宋_GB2312"/>
          <w:spacing w:val="6"/>
          <w:sz w:val="32"/>
          <w:szCs w:val="32"/>
        </w:rPr>
        <w:t>合</w:t>
      </w:r>
      <w:proofErr w:type="gramStart"/>
      <w:r>
        <w:rPr>
          <w:rFonts w:ascii="仿宋_GB2312" w:eastAsia="仿宋_GB2312" w:hAnsi="仿宋_GB2312" w:cs="仿宋_GB2312"/>
          <w:spacing w:val="6"/>
          <w:sz w:val="32"/>
          <w:szCs w:val="32"/>
        </w:rPr>
        <w:t>规</w:t>
      </w:r>
      <w:proofErr w:type="gramEnd"/>
      <w:r>
        <w:rPr>
          <w:rFonts w:ascii="仿宋_GB2312" w:eastAsia="仿宋_GB2312" w:hAnsi="仿宋_GB2312" w:cs="仿宋_GB2312"/>
          <w:spacing w:val="6"/>
          <w:sz w:val="32"/>
          <w:szCs w:val="32"/>
        </w:rPr>
        <w:t>投资的责任在管理人。</w:t>
      </w:r>
      <w:r>
        <w:rPr>
          <w:rFonts w:ascii="仿宋_GB2312" w:eastAsia="仿宋_GB2312" w:hAnsi="仿宋_GB2312" w:cs="仿宋_GB2312"/>
          <w:sz w:val="32"/>
          <w:szCs w:val="32"/>
        </w:rPr>
        <w:t>管理人认可托管人进行投资监督的及时性、准确性和完整性受限于上述数据和信息，托管人对管理人及第三方机构提供信息的及时性、准确性和完整性不作任何担保、暗示或表示</w:t>
      </w:r>
      <w:r>
        <w:rPr>
          <w:rFonts w:ascii="仿宋_GB2312" w:eastAsia="仿宋_GB2312" w:hAnsi="仿宋_GB2312" w:cs="仿宋_GB2312" w:hint="eastAsia"/>
          <w:spacing w:val="6"/>
          <w:sz w:val="32"/>
          <w:szCs w:val="32"/>
        </w:rPr>
        <w:t>，</w:t>
      </w:r>
      <w:r>
        <w:rPr>
          <w:rFonts w:ascii="仿宋_GB2312" w:eastAsia="仿宋_GB2312" w:hAnsi="仿宋_GB2312" w:cs="仿宋_GB2312"/>
          <w:spacing w:val="6"/>
          <w:sz w:val="32"/>
          <w:szCs w:val="32"/>
        </w:rPr>
        <w:t>并对上述机构提供的信息的错误和遗漏所引起的损失不承担任何责任</w:t>
      </w:r>
      <w:r>
        <w:rPr>
          <w:rFonts w:ascii="仿宋_GB2312" w:eastAsia="仿宋_GB2312" w:hAnsi="仿宋_GB2312" w:cs="仿宋_GB2312"/>
          <w:sz w:val="32"/>
          <w:szCs w:val="32"/>
        </w:rPr>
        <w:t>。</w:t>
      </w:r>
    </w:p>
    <w:p w:rsidR="0081436D" w:rsidRDefault="00BD165F">
      <w:pPr>
        <w:widowControl w:val="0"/>
        <w:spacing w:line="59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color w:val="000000"/>
          <w:sz w:val="32"/>
          <w:szCs w:val="32"/>
        </w:rPr>
        <w:t>管理人应保证其所提供的与投资相关的各项法律文件的合法性、真实性、完整性及有效性，如因管理人提供的上述文件不合法、不真实、不完整或失去效力而影响托管人对</w:t>
      </w:r>
      <w:r>
        <w:rPr>
          <w:rFonts w:ascii="仿宋_GB2312" w:eastAsia="仿宋_GB2312" w:hAnsi="仿宋_GB2312" w:cs="仿宋_GB2312" w:hint="eastAsia"/>
          <w:color w:val="000000"/>
          <w:sz w:val="32"/>
          <w:szCs w:val="32"/>
        </w:rPr>
        <w:t>理财产品投资范围、投资比例或投资限制等</w:t>
      </w:r>
      <w:r>
        <w:rPr>
          <w:rFonts w:ascii="仿宋_GB2312" w:eastAsia="仿宋_GB2312" w:hAnsi="仿宋_GB2312" w:cs="仿宋_GB2312"/>
          <w:color w:val="000000"/>
          <w:sz w:val="32"/>
          <w:szCs w:val="32"/>
        </w:rPr>
        <w:t>的</w:t>
      </w:r>
      <w:r>
        <w:rPr>
          <w:rFonts w:ascii="仿宋_GB2312" w:eastAsia="仿宋_GB2312" w:hAnsi="仿宋_GB2312" w:cs="仿宋_GB2312" w:hint="eastAsia"/>
          <w:color w:val="000000"/>
          <w:sz w:val="32"/>
          <w:szCs w:val="32"/>
        </w:rPr>
        <w:t>监督</w:t>
      </w:r>
      <w:r>
        <w:rPr>
          <w:rFonts w:ascii="仿宋_GB2312" w:eastAsia="仿宋_GB2312" w:hAnsi="仿宋_GB2312" w:cs="仿宋_GB2312"/>
          <w:color w:val="000000"/>
          <w:sz w:val="32"/>
          <w:szCs w:val="32"/>
        </w:rPr>
        <w:t>或给理财产品或任何第三</w:t>
      </w:r>
      <w:proofErr w:type="gramStart"/>
      <w:r>
        <w:rPr>
          <w:rFonts w:ascii="仿宋_GB2312" w:eastAsia="仿宋_GB2312" w:hAnsi="仿宋_GB2312" w:cs="仿宋_GB2312"/>
          <w:color w:val="000000"/>
          <w:sz w:val="32"/>
          <w:szCs w:val="32"/>
        </w:rPr>
        <w:t>方带来</w:t>
      </w:r>
      <w:proofErr w:type="gramEnd"/>
      <w:r>
        <w:rPr>
          <w:rFonts w:ascii="仿宋_GB2312" w:eastAsia="仿宋_GB2312" w:hAnsi="仿宋_GB2312" w:cs="仿宋_GB2312"/>
          <w:color w:val="000000"/>
          <w:sz w:val="32"/>
          <w:szCs w:val="32"/>
        </w:rPr>
        <w:t>损失，托管人不承担任何形式的责任。</w:t>
      </w:r>
    </w:p>
    <w:p w:rsidR="0081436D" w:rsidRDefault="00BD165F" w:rsidP="005D01BD">
      <w:pPr>
        <w:widowControl w:val="0"/>
        <w:spacing w:line="590" w:lineRule="exact"/>
        <w:ind w:firstLineChars="200" w:firstLine="652"/>
        <w:jc w:val="both"/>
        <w:rPr>
          <w:rFonts w:ascii="仿宋_GB2312" w:eastAsia="仿宋_GB2312" w:hAnsi="仿宋_GB2312" w:cs="仿宋_GB2312"/>
          <w:sz w:val="32"/>
          <w:szCs w:val="32"/>
        </w:rPr>
      </w:pPr>
      <w:r>
        <w:rPr>
          <w:rFonts w:ascii="仿宋_GB2312" w:eastAsia="仿宋_GB2312" w:hAnsi="仿宋_GB2312" w:cs="仿宋_GB2312"/>
          <w:bCs/>
          <w:color w:val="000000"/>
          <w:spacing w:val="6"/>
          <w:sz w:val="32"/>
          <w:szCs w:val="32"/>
        </w:rPr>
        <w:t>（二）处理方式和程序</w:t>
      </w:r>
    </w:p>
    <w:p w:rsidR="0081436D" w:rsidRDefault="00BD165F" w:rsidP="005D01BD">
      <w:pPr>
        <w:widowControl w:val="0"/>
        <w:spacing w:line="590" w:lineRule="exact"/>
        <w:ind w:firstLineChars="200" w:firstLine="652"/>
        <w:jc w:val="both"/>
        <w:rPr>
          <w:rFonts w:ascii="仿宋_GB2312" w:eastAsia="仿宋_GB2312" w:hAnsi="仿宋_GB2312" w:cs="仿宋_GB2312"/>
          <w:bCs/>
          <w:spacing w:val="6"/>
          <w:sz w:val="32"/>
          <w:szCs w:val="32"/>
        </w:rPr>
      </w:pPr>
      <w:r>
        <w:rPr>
          <w:rFonts w:ascii="仿宋_GB2312" w:eastAsia="仿宋_GB2312" w:hAnsi="仿宋_GB2312" w:cs="仿宋_GB2312"/>
          <w:bCs/>
          <w:spacing w:val="6"/>
          <w:sz w:val="32"/>
          <w:szCs w:val="32"/>
        </w:rPr>
        <w:t>托管人根据</w:t>
      </w:r>
      <w:r>
        <w:rPr>
          <w:rFonts w:ascii="仿宋_GB2312" w:eastAsia="仿宋_GB2312" w:hAnsi="仿宋_GB2312" w:cs="仿宋_GB2312" w:hint="eastAsia"/>
          <w:bCs/>
          <w:spacing w:val="6"/>
          <w:sz w:val="32"/>
          <w:szCs w:val="32"/>
        </w:rPr>
        <w:t>理财产品说明书</w:t>
      </w:r>
      <w:r>
        <w:rPr>
          <w:rFonts w:ascii="仿宋_GB2312" w:eastAsia="仿宋_GB2312" w:hAnsi="仿宋_GB2312" w:cs="仿宋_GB2312"/>
          <w:bCs/>
          <w:spacing w:val="6"/>
          <w:sz w:val="32"/>
          <w:szCs w:val="32"/>
        </w:rPr>
        <w:t>的相关内容，监督理财产品投资运作，发现理财产品违反法律、行政法规、规章规定或合同约定进行投资的，应当拒绝执行并及时通知管理人</w:t>
      </w:r>
      <w:r>
        <w:rPr>
          <w:rFonts w:ascii="仿宋_GB2312" w:eastAsia="仿宋_GB2312" w:hAnsi="仿宋_GB2312" w:cs="仿宋_GB2312"/>
          <w:bCs/>
          <w:spacing w:val="6"/>
          <w:sz w:val="32"/>
          <w:szCs w:val="32"/>
        </w:rPr>
        <w:t>,</w:t>
      </w:r>
      <w:r>
        <w:rPr>
          <w:rFonts w:ascii="仿宋_GB2312" w:eastAsia="仿宋_GB2312" w:hAnsi="仿宋_GB2312" w:cs="仿宋_GB2312"/>
          <w:bCs/>
          <w:spacing w:val="6"/>
          <w:sz w:val="32"/>
          <w:szCs w:val="32"/>
        </w:rPr>
        <w:t>管理人应在规定期限内回复意见；对于依据交易程序已经成交的指令，管理人应在规定期限内调整使其合</w:t>
      </w:r>
      <w:proofErr w:type="gramStart"/>
      <w:r>
        <w:rPr>
          <w:rFonts w:ascii="仿宋_GB2312" w:eastAsia="仿宋_GB2312" w:hAnsi="仿宋_GB2312" w:cs="仿宋_GB2312"/>
          <w:bCs/>
          <w:spacing w:val="6"/>
          <w:sz w:val="32"/>
          <w:szCs w:val="32"/>
        </w:rPr>
        <w:t>规</w:t>
      </w:r>
      <w:proofErr w:type="gramEnd"/>
      <w:r>
        <w:rPr>
          <w:rFonts w:ascii="仿宋_GB2312" w:eastAsia="仿宋_GB2312" w:hAnsi="仿宋_GB2312" w:cs="仿宋_GB2312"/>
          <w:bCs/>
          <w:spacing w:val="6"/>
          <w:sz w:val="32"/>
          <w:szCs w:val="32"/>
        </w:rPr>
        <w:t>。</w:t>
      </w:r>
    </w:p>
    <w:p w:rsidR="0081436D" w:rsidRDefault="00BD165F" w:rsidP="005D01BD">
      <w:pPr>
        <w:widowControl w:val="0"/>
        <w:spacing w:line="590" w:lineRule="exact"/>
        <w:ind w:firstLineChars="200" w:firstLine="652"/>
        <w:jc w:val="both"/>
        <w:rPr>
          <w:rFonts w:ascii="仿宋_GB2312" w:eastAsia="仿宋_GB2312" w:hAnsi="仿宋_GB2312" w:cs="仿宋_GB2312"/>
          <w:bCs/>
          <w:spacing w:val="6"/>
          <w:sz w:val="32"/>
          <w:szCs w:val="32"/>
        </w:rPr>
      </w:pPr>
      <w:r>
        <w:rPr>
          <w:rFonts w:ascii="仿宋_GB2312" w:eastAsia="仿宋_GB2312" w:hAnsi="仿宋_GB2312" w:cs="仿宋_GB2312"/>
          <w:bCs/>
          <w:spacing w:val="6"/>
          <w:sz w:val="32"/>
          <w:szCs w:val="32"/>
        </w:rPr>
        <w:t>因管理人违反国家法律法规或</w:t>
      </w:r>
      <w:r>
        <w:rPr>
          <w:rFonts w:ascii="仿宋_GB2312" w:eastAsia="仿宋_GB2312" w:hAnsi="仿宋_GB2312" w:cs="仿宋_GB2312" w:hint="eastAsia"/>
          <w:bCs/>
          <w:spacing w:val="6"/>
          <w:sz w:val="32"/>
          <w:szCs w:val="32"/>
        </w:rPr>
        <w:t>理财产品说明书</w:t>
      </w:r>
      <w:r>
        <w:rPr>
          <w:rFonts w:ascii="仿宋_GB2312" w:eastAsia="仿宋_GB2312" w:hAnsi="仿宋_GB2312" w:cs="仿宋_GB2312"/>
          <w:bCs/>
          <w:spacing w:val="6"/>
          <w:sz w:val="32"/>
          <w:szCs w:val="32"/>
        </w:rPr>
        <w:t>给理财</w:t>
      </w:r>
      <w:r>
        <w:rPr>
          <w:rFonts w:ascii="仿宋_GB2312" w:eastAsia="仿宋_GB2312" w:hAnsi="仿宋_GB2312" w:cs="仿宋_GB2312"/>
          <w:bCs/>
          <w:spacing w:val="6"/>
          <w:sz w:val="32"/>
          <w:szCs w:val="32"/>
        </w:rPr>
        <w:lastRenderedPageBreak/>
        <w:t>产品造成损失的，托管人不承担责任。托管人有权根据有关法律、规章或监管要求将监督情况报告</w:t>
      </w:r>
      <w:r>
        <w:rPr>
          <w:rStyle w:val="af4"/>
          <w:rFonts w:ascii="仿宋_GB2312" w:eastAsia="仿宋_GB2312" w:hAnsi="仿宋_GB2312" w:cs="仿宋_GB2312"/>
          <w:b w:val="0"/>
          <w:spacing w:val="6"/>
          <w:sz w:val="32"/>
          <w:szCs w:val="32"/>
        </w:rPr>
        <w:t>国家金融监督管理总局</w:t>
      </w:r>
      <w:r>
        <w:rPr>
          <w:rFonts w:ascii="仿宋_GB2312" w:eastAsia="仿宋_GB2312" w:hAnsi="仿宋_GB2312" w:cs="仿宋_GB2312"/>
          <w:bCs/>
          <w:spacing w:val="6"/>
          <w:sz w:val="32"/>
          <w:szCs w:val="32"/>
        </w:rPr>
        <w:t>。</w:t>
      </w:r>
    </w:p>
    <w:p w:rsidR="0081436D" w:rsidRDefault="00BD165F" w:rsidP="005D01BD">
      <w:pPr>
        <w:pStyle w:val="a3"/>
        <w:widowControl w:val="0"/>
        <w:spacing w:line="590" w:lineRule="exact"/>
        <w:ind w:firstLineChars="200" w:firstLine="652"/>
        <w:jc w:val="both"/>
        <w:rPr>
          <w:rFonts w:ascii="仿宋_GB2312" w:eastAsia="仿宋_GB2312" w:hAnsi="仿宋_GB2312" w:cs="仿宋_GB2312"/>
          <w:bCs/>
          <w:spacing w:val="6"/>
          <w:sz w:val="32"/>
          <w:szCs w:val="32"/>
        </w:rPr>
      </w:pPr>
      <w:r>
        <w:rPr>
          <w:rFonts w:ascii="仿宋_GB2312" w:eastAsia="仿宋_GB2312" w:hAnsi="仿宋_GB2312" w:cs="仿宋_GB2312"/>
          <w:bCs/>
          <w:spacing w:val="6"/>
          <w:sz w:val="32"/>
          <w:szCs w:val="32"/>
        </w:rPr>
        <w:t>托管人对理财产品的投资</w:t>
      </w:r>
      <w:r>
        <w:rPr>
          <w:rFonts w:ascii="仿宋_GB2312" w:eastAsia="仿宋_GB2312" w:hAnsi="仿宋_GB2312" w:cs="仿宋_GB2312"/>
          <w:bCs/>
          <w:spacing w:val="6"/>
          <w:sz w:val="32"/>
          <w:szCs w:val="32"/>
        </w:rPr>
        <w:t>监督义务自理财产品成立日开始，至进入清算期止。</w:t>
      </w:r>
    </w:p>
    <w:p w:rsidR="0081436D" w:rsidRDefault="00BD165F" w:rsidP="005D01BD">
      <w:pPr>
        <w:widowControl w:val="0"/>
        <w:spacing w:line="590" w:lineRule="exact"/>
        <w:ind w:firstLineChars="200" w:firstLine="652"/>
        <w:jc w:val="both"/>
        <w:rPr>
          <w:rFonts w:ascii="仿宋_GB2312" w:eastAsia="仿宋_GB2312" w:hAnsi="仿宋_GB2312" w:cs="仿宋_GB2312"/>
          <w:bCs/>
          <w:color w:val="000000"/>
          <w:spacing w:val="6"/>
          <w:sz w:val="32"/>
          <w:szCs w:val="32"/>
        </w:rPr>
      </w:pPr>
      <w:r>
        <w:rPr>
          <w:rFonts w:ascii="仿宋_GB2312" w:eastAsia="仿宋_GB2312" w:hAnsi="仿宋_GB2312" w:cs="仿宋_GB2312"/>
          <w:bCs/>
          <w:color w:val="000000"/>
          <w:spacing w:val="6"/>
          <w:sz w:val="32"/>
          <w:szCs w:val="32"/>
        </w:rPr>
        <w:t>（三）监督与核查的责任</w:t>
      </w:r>
    </w:p>
    <w:p w:rsidR="0081436D" w:rsidRDefault="00BD165F" w:rsidP="005D01BD">
      <w:pPr>
        <w:widowControl w:val="0"/>
        <w:spacing w:line="590" w:lineRule="exact"/>
        <w:ind w:firstLineChars="200" w:firstLine="652"/>
        <w:jc w:val="both"/>
        <w:rPr>
          <w:rFonts w:ascii="仿宋_GB2312" w:eastAsia="仿宋_GB2312" w:hAnsi="仿宋_GB2312" w:cs="仿宋_GB2312"/>
          <w:bCs/>
          <w:spacing w:val="6"/>
          <w:sz w:val="32"/>
          <w:szCs w:val="32"/>
        </w:rPr>
      </w:pPr>
      <w:r>
        <w:rPr>
          <w:rFonts w:ascii="仿宋_GB2312" w:eastAsia="仿宋_GB2312" w:hAnsi="仿宋_GB2312" w:cs="仿宋_GB2312"/>
          <w:bCs/>
          <w:spacing w:val="6"/>
          <w:sz w:val="32"/>
          <w:szCs w:val="32"/>
        </w:rPr>
        <w:t>若</w:t>
      </w:r>
      <w:r>
        <w:rPr>
          <w:rFonts w:ascii="仿宋_GB2312" w:eastAsia="仿宋_GB2312" w:hAnsi="仿宋_GB2312" w:cs="仿宋_GB2312" w:hint="eastAsia"/>
          <w:bCs/>
          <w:spacing w:val="6"/>
          <w:sz w:val="32"/>
          <w:szCs w:val="32"/>
        </w:rPr>
        <w:t>托管人依照相关法律法规、本协议约定履行了监督职责，</w:t>
      </w:r>
      <w:r>
        <w:rPr>
          <w:rFonts w:ascii="仿宋_GB2312" w:eastAsia="仿宋_GB2312" w:hAnsi="仿宋_GB2312" w:cs="仿宋_GB2312"/>
          <w:bCs/>
          <w:spacing w:val="6"/>
          <w:sz w:val="32"/>
          <w:szCs w:val="32"/>
        </w:rPr>
        <w:t>管理人仍存在违反</w:t>
      </w:r>
      <w:r>
        <w:rPr>
          <w:rFonts w:ascii="仿宋_GB2312" w:eastAsia="仿宋_GB2312" w:hAnsi="仿宋_GB2312" w:cs="仿宋_GB2312" w:hint="eastAsia"/>
          <w:bCs/>
          <w:spacing w:val="6"/>
          <w:sz w:val="32"/>
          <w:szCs w:val="32"/>
        </w:rPr>
        <w:t>理财产品说明书</w:t>
      </w:r>
      <w:r>
        <w:rPr>
          <w:rFonts w:ascii="仿宋_GB2312" w:eastAsia="仿宋_GB2312" w:hAnsi="仿宋_GB2312" w:cs="仿宋_GB2312"/>
          <w:bCs/>
          <w:spacing w:val="6"/>
          <w:sz w:val="32"/>
          <w:szCs w:val="32"/>
        </w:rPr>
        <w:t>约定的投资行为时，所发生的损失及相关交易费用由管理人承担，所发生的收益归理财产品财产所有。</w:t>
      </w:r>
    </w:p>
    <w:p w:rsidR="0081436D" w:rsidRDefault="00BD165F" w:rsidP="005D01BD">
      <w:pPr>
        <w:widowControl w:val="0"/>
        <w:spacing w:line="590" w:lineRule="exact"/>
        <w:ind w:firstLineChars="200" w:firstLine="652"/>
        <w:jc w:val="both"/>
        <w:rPr>
          <w:rFonts w:ascii="仿宋_GB2312" w:eastAsia="仿宋_GB2312" w:hAnsi="仿宋_GB2312" w:cs="仿宋_GB2312"/>
          <w:bCs/>
          <w:spacing w:val="6"/>
          <w:sz w:val="32"/>
          <w:szCs w:val="32"/>
        </w:rPr>
      </w:pPr>
      <w:r>
        <w:rPr>
          <w:rFonts w:ascii="仿宋_GB2312" w:eastAsia="仿宋_GB2312" w:hAnsi="仿宋_GB2312" w:cs="仿宋_GB2312" w:hint="eastAsia"/>
          <w:bCs/>
          <w:spacing w:val="6"/>
          <w:sz w:val="32"/>
          <w:szCs w:val="32"/>
        </w:rPr>
        <w:t>托管人</w:t>
      </w:r>
      <w:r>
        <w:rPr>
          <w:rFonts w:ascii="仿宋_GB2312" w:eastAsia="仿宋_GB2312" w:hAnsi="仿宋_GB2312" w:cs="仿宋_GB2312"/>
          <w:bCs/>
          <w:spacing w:val="6"/>
          <w:sz w:val="32"/>
          <w:szCs w:val="32"/>
        </w:rPr>
        <w:t>无投资责任，对任何管理人的投资行为（包括但不限于其投资策略及决定）或其投资回报不承担任何责任。</w:t>
      </w:r>
    </w:p>
    <w:p w:rsidR="0081436D" w:rsidRDefault="0081436D" w:rsidP="005D01BD">
      <w:pPr>
        <w:widowControl w:val="0"/>
        <w:spacing w:line="590" w:lineRule="exact"/>
        <w:ind w:firstLineChars="200" w:firstLine="652"/>
        <w:jc w:val="both"/>
        <w:rPr>
          <w:rFonts w:ascii="仿宋_GB2312" w:eastAsia="仿宋_GB2312" w:hAnsi="仿宋_GB2312" w:cs="仿宋_GB2312"/>
          <w:spacing w:val="6"/>
          <w:sz w:val="32"/>
          <w:szCs w:val="32"/>
        </w:rPr>
      </w:pPr>
    </w:p>
    <w:p w:rsidR="0081436D" w:rsidRDefault="00BD165F">
      <w:pPr>
        <w:pStyle w:val="1"/>
        <w:tabs>
          <w:tab w:val="clear" w:pos="0"/>
          <w:tab w:val="clear" w:pos="5246"/>
        </w:tabs>
        <w:spacing w:before="0" w:line="590" w:lineRule="exact"/>
        <w:ind w:left="0"/>
        <w:jc w:val="center"/>
        <w:rPr>
          <w:rFonts w:ascii="仿宋_GB2312" w:eastAsia="仿宋_GB2312" w:hAnsi="仿宋_GB2312"/>
          <w:sz w:val="32"/>
          <w:szCs w:val="32"/>
        </w:rPr>
      </w:pPr>
      <w:bookmarkStart w:id="154" w:name="_Toc3606"/>
      <w:bookmarkStart w:id="155" w:name="_Toc4517"/>
      <w:bookmarkStart w:id="156" w:name="_Toc29219"/>
      <w:bookmarkStart w:id="157" w:name="_Toc5758"/>
      <w:bookmarkStart w:id="158" w:name="_Toc28680"/>
      <w:bookmarkStart w:id="159" w:name="_Toc12107"/>
      <w:bookmarkStart w:id="160" w:name="_Toc13961"/>
      <w:bookmarkStart w:id="161" w:name="_Toc20739"/>
      <w:bookmarkStart w:id="162" w:name="_Toc19789"/>
      <w:bookmarkStart w:id="163" w:name="_Toc15657"/>
      <w:bookmarkStart w:id="164" w:name="_Toc425952826"/>
      <w:r>
        <w:rPr>
          <w:rFonts w:ascii="仿宋_GB2312" w:eastAsia="仿宋_GB2312" w:hAnsi="仿宋_GB2312"/>
          <w:sz w:val="32"/>
          <w:szCs w:val="32"/>
        </w:rPr>
        <w:t>收益分配</w:t>
      </w:r>
      <w:bookmarkEnd w:id="154"/>
      <w:bookmarkEnd w:id="155"/>
      <w:bookmarkEnd w:id="156"/>
      <w:bookmarkEnd w:id="157"/>
      <w:bookmarkEnd w:id="158"/>
      <w:bookmarkEnd w:id="159"/>
      <w:bookmarkEnd w:id="160"/>
      <w:bookmarkEnd w:id="161"/>
      <w:bookmarkEnd w:id="162"/>
      <w:bookmarkEnd w:id="163"/>
    </w:p>
    <w:p w:rsidR="0081436D" w:rsidRDefault="00BD165F" w:rsidP="005D01BD">
      <w:pPr>
        <w:spacing w:line="590" w:lineRule="exact"/>
        <w:ind w:firstLineChars="200" w:firstLine="652"/>
        <w:jc w:val="both"/>
        <w:rPr>
          <w:rFonts w:ascii="仿宋_GB2312" w:eastAsia="仿宋_GB2312" w:hAnsi="仿宋_GB2312"/>
          <w:spacing w:val="6"/>
          <w:sz w:val="32"/>
          <w:szCs w:val="32"/>
        </w:rPr>
      </w:pPr>
      <w:r>
        <w:rPr>
          <w:rFonts w:ascii="仿宋_GB2312" w:eastAsia="仿宋_GB2312" w:hAnsi="仿宋_GB2312"/>
          <w:spacing w:val="6"/>
          <w:sz w:val="32"/>
          <w:szCs w:val="32"/>
        </w:rPr>
        <w:t>（一）收益分配原则</w:t>
      </w:r>
    </w:p>
    <w:p w:rsidR="0081436D" w:rsidRDefault="00BD165F" w:rsidP="005D01BD">
      <w:pPr>
        <w:spacing w:line="590" w:lineRule="exact"/>
        <w:ind w:firstLineChars="200" w:firstLine="652"/>
        <w:jc w:val="both"/>
        <w:rPr>
          <w:rFonts w:ascii="仿宋_GB2312" w:eastAsia="仿宋_GB2312" w:hAnsi="仿宋_GB2312"/>
          <w:spacing w:val="6"/>
          <w:sz w:val="32"/>
          <w:szCs w:val="32"/>
        </w:rPr>
      </w:pPr>
      <w:r>
        <w:rPr>
          <w:rFonts w:ascii="仿宋_GB2312" w:eastAsia="仿宋_GB2312" w:hAnsi="仿宋_GB2312"/>
          <w:spacing w:val="6"/>
          <w:sz w:val="32"/>
          <w:szCs w:val="32"/>
        </w:rPr>
        <w:t>1.</w:t>
      </w:r>
      <w:r>
        <w:rPr>
          <w:rFonts w:ascii="仿宋_GB2312" w:eastAsia="仿宋_GB2312" w:hAnsi="仿宋_GB2312"/>
          <w:spacing w:val="6"/>
          <w:sz w:val="32"/>
          <w:szCs w:val="32"/>
        </w:rPr>
        <w:t>理财产品收益分配方案由管理人拟定，并由托管人复核。理财产品收益分配方案以理财产品说明书约定的为准。</w:t>
      </w:r>
    </w:p>
    <w:p w:rsidR="0081436D" w:rsidRDefault="00BD165F" w:rsidP="005D01BD">
      <w:pPr>
        <w:spacing w:line="590" w:lineRule="exact"/>
        <w:ind w:firstLineChars="200" w:firstLine="652"/>
        <w:jc w:val="both"/>
        <w:rPr>
          <w:rFonts w:ascii="仿宋_GB2312" w:eastAsia="仿宋_GB2312" w:hAnsi="仿宋_GB2312"/>
          <w:spacing w:val="6"/>
          <w:sz w:val="32"/>
          <w:szCs w:val="32"/>
        </w:rPr>
      </w:pPr>
      <w:r>
        <w:rPr>
          <w:rFonts w:ascii="仿宋_GB2312" w:eastAsia="仿宋_GB2312" w:hAnsi="仿宋_GB2312"/>
          <w:spacing w:val="6"/>
          <w:sz w:val="32"/>
          <w:szCs w:val="32"/>
        </w:rPr>
        <w:t>2.</w:t>
      </w:r>
      <w:r>
        <w:rPr>
          <w:rFonts w:ascii="仿宋_GB2312" w:eastAsia="仿宋_GB2312" w:hAnsi="仿宋_GB2312"/>
          <w:spacing w:val="6"/>
          <w:sz w:val="32"/>
          <w:szCs w:val="32"/>
        </w:rPr>
        <w:t>管理人负责及时向投资者分配收益。管理人也可</w:t>
      </w:r>
      <w:r>
        <w:rPr>
          <w:rFonts w:ascii="仿宋_GB2312" w:eastAsia="仿宋_GB2312" w:hAnsi="仿宋_GB2312"/>
          <w:sz w:val="32"/>
          <w:szCs w:val="32"/>
        </w:rPr>
        <w:t>委托具备相关资格的外部机构负责处理，管理人委托外部机构进行处理的，管理人承担最终责任，该责任不因委托关系而免除。</w:t>
      </w:r>
      <w:r>
        <w:rPr>
          <w:rFonts w:ascii="仿宋_GB2312" w:eastAsia="仿宋_GB2312" w:hAnsi="仿宋_GB2312"/>
          <w:spacing w:val="6"/>
          <w:sz w:val="32"/>
          <w:szCs w:val="32"/>
        </w:rPr>
        <w:t xml:space="preserve">  </w:t>
      </w:r>
    </w:p>
    <w:p w:rsidR="0081436D" w:rsidRDefault="00BD165F" w:rsidP="005D01BD">
      <w:pPr>
        <w:spacing w:line="590" w:lineRule="exact"/>
        <w:ind w:firstLineChars="200" w:firstLine="652"/>
        <w:jc w:val="both"/>
        <w:rPr>
          <w:rFonts w:ascii="仿宋_GB2312" w:eastAsia="仿宋_GB2312" w:hAnsi="仿宋_GB2312"/>
          <w:spacing w:val="6"/>
          <w:sz w:val="32"/>
          <w:szCs w:val="32"/>
        </w:rPr>
      </w:pPr>
      <w:r>
        <w:rPr>
          <w:rFonts w:ascii="仿宋_GB2312" w:eastAsia="仿宋_GB2312" w:hAnsi="仿宋_GB2312"/>
          <w:spacing w:val="6"/>
          <w:sz w:val="32"/>
          <w:szCs w:val="32"/>
        </w:rPr>
        <w:lastRenderedPageBreak/>
        <w:t>（二）收益分配的实施</w:t>
      </w:r>
    </w:p>
    <w:p w:rsidR="0081436D" w:rsidRDefault="00BD165F" w:rsidP="005D01BD">
      <w:pPr>
        <w:spacing w:line="590" w:lineRule="exact"/>
        <w:ind w:firstLineChars="200" w:firstLine="652"/>
        <w:jc w:val="both"/>
        <w:rPr>
          <w:rFonts w:ascii="仿宋_GB2312" w:eastAsia="仿宋_GB2312" w:hAnsi="仿宋_GB2312"/>
          <w:spacing w:val="6"/>
          <w:sz w:val="32"/>
          <w:szCs w:val="32"/>
        </w:rPr>
      </w:pPr>
      <w:r>
        <w:rPr>
          <w:rFonts w:ascii="仿宋_GB2312" w:eastAsia="仿宋_GB2312" w:hAnsi="仿宋_GB2312"/>
          <w:spacing w:val="6"/>
          <w:sz w:val="32"/>
          <w:szCs w:val="32"/>
        </w:rPr>
        <w:t>管理人向托管人发送收益分配的付款指令，托管人按指令将收益分配的全部资金划入管理人</w:t>
      </w:r>
      <w:r>
        <w:rPr>
          <w:rFonts w:ascii="仿宋_GB2312" w:eastAsia="仿宋_GB2312" w:hAnsi="仿宋_GB2312"/>
          <w:color w:val="000000"/>
          <w:sz w:val="32"/>
          <w:szCs w:val="32"/>
          <w:lang w:val="zh-CN"/>
        </w:rPr>
        <w:t>资金清算账户</w:t>
      </w:r>
      <w:r>
        <w:rPr>
          <w:rFonts w:ascii="仿宋_GB2312" w:eastAsia="仿宋_GB2312" w:hAnsi="仿宋_GB2312"/>
          <w:spacing w:val="6"/>
          <w:sz w:val="32"/>
          <w:szCs w:val="32"/>
        </w:rPr>
        <w:t>。</w:t>
      </w:r>
    </w:p>
    <w:p w:rsidR="0081436D" w:rsidRDefault="0081436D" w:rsidP="005D01BD">
      <w:pPr>
        <w:spacing w:line="590" w:lineRule="exact"/>
        <w:ind w:firstLineChars="200" w:firstLine="652"/>
        <w:jc w:val="both"/>
        <w:rPr>
          <w:rFonts w:ascii="仿宋_GB2312" w:eastAsia="仿宋_GB2312" w:hAnsi="仿宋_GB2312"/>
          <w:spacing w:val="6"/>
          <w:sz w:val="32"/>
          <w:szCs w:val="32"/>
        </w:rPr>
      </w:pPr>
    </w:p>
    <w:p w:rsidR="0081436D" w:rsidRDefault="00BD165F">
      <w:pPr>
        <w:pStyle w:val="1"/>
        <w:tabs>
          <w:tab w:val="clear" w:pos="0"/>
          <w:tab w:val="clear" w:pos="5246"/>
        </w:tabs>
        <w:spacing w:before="0" w:line="590" w:lineRule="exact"/>
        <w:ind w:left="0"/>
        <w:jc w:val="center"/>
        <w:rPr>
          <w:rFonts w:ascii="仿宋_GB2312" w:eastAsia="仿宋_GB2312" w:hAnsi="仿宋_GB2312"/>
          <w:sz w:val="32"/>
          <w:szCs w:val="32"/>
        </w:rPr>
      </w:pPr>
      <w:bookmarkStart w:id="165" w:name="_Toc32162"/>
      <w:bookmarkStart w:id="166" w:name="_Toc6953"/>
      <w:bookmarkStart w:id="167" w:name="_Toc8280"/>
      <w:bookmarkStart w:id="168" w:name="_Toc22759"/>
      <w:bookmarkStart w:id="169" w:name="_Toc30652"/>
      <w:bookmarkStart w:id="170" w:name="_Toc15244"/>
      <w:bookmarkStart w:id="171" w:name="_Toc533"/>
      <w:bookmarkStart w:id="172" w:name="_Toc22428"/>
      <w:bookmarkStart w:id="173" w:name="_Toc7906"/>
      <w:bookmarkStart w:id="174" w:name="_Toc25165"/>
      <w:r>
        <w:rPr>
          <w:rFonts w:ascii="仿宋_GB2312" w:eastAsia="仿宋_GB2312" w:hAnsi="仿宋_GB2312"/>
          <w:sz w:val="32"/>
          <w:szCs w:val="32"/>
        </w:rPr>
        <w:t>费用与税收</w:t>
      </w:r>
      <w:bookmarkEnd w:id="165"/>
      <w:bookmarkEnd w:id="166"/>
      <w:bookmarkEnd w:id="167"/>
      <w:bookmarkEnd w:id="168"/>
      <w:bookmarkEnd w:id="169"/>
      <w:bookmarkEnd w:id="170"/>
      <w:bookmarkEnd w:id="171"/>
      <w:bookmarkEnd w:id="172"/>
      <w:bookmarkEnd w:id="173"/>
      <w:bookmarkEnd w:id="174"/>
    </w:p>
    <w:p w:rsidR="0081436D" w:rsidRDefault="00BD165F" w:rsidP="005D01BD">
      <w:pPr>
        <w:widowControl w:val="0"/>
        <w:spacing w:line="590" w:lineRule="exact"/>
        <w:ind w:firstLineChars="200" w:firstLine="652"/>
        <w:jc w:val="both"/>
        <w:rPr>
          <w:rFonts w:ascii="仿宋_GB2312" w:eastAsia="仿宋_GB2312" w:hAnsi="仿宋_GB2312" w:cs="仿宋_GB2312"/>
          <w:spacing w:val="6"/>
          <w:sz w:val="32"/>
          <w:szCs w:val="32"/>
        </w:rPr>
      </w:pPr>
      <w:bookmarkStart w:id="175" w:name="_Toc24007"/>
      <w:bookmarkStart w:id="176" w:name="_Toc7856"/>
      <w:r>
        <w:rPr>
          <w:rFonts w:ascii="仿宋_GB2312" w:eastAsia="仿宋_GB2312" w:hAnsi="仿宋_GB2312" w:cs="仿宋_GB2312"/>
          <w:spacing w:val="6"/>
          <w:sz w:val="32"/>
          <w:szCs w:val="32"/>
        </w:rPr>
        <w:t>（一）费用的种类</w:t>
      </w:r>
      <w:bookmarkEnd w:id="164"/>
      <w:bookmarkEnd w:id="175"/>
      <w:bookmarkEnd w:id="176"/>
      <w:r>
        <w:rPr>
          <w:rFonts w:ascii="仿宋_GB2312" w:eastAsia="仿宋_GB2312" w:hAnsi="仿宋_GB2312" w:cs="仿宋_GB2312"/>
          <w:spacing w:val="6"/>
          <w:sz w:val="32"/>
          <w:szCs w:val="32"/>
        </w:rPr>
        <w:t xml:space="preserve"> </w:t>
      </w:r>
    </w:p>
    <w:p w:rsidR="0081436D" w:rsidRDefault="00BD165F" w:rsidP="005D01BD">
      <w:pPr>
        <w:pStyle w:val="af"/>
        <w:widowControl w:val="0"/>
        <w:spacing w:before="0" w:beforeAutospacing="0" w:after="0" w:afterAutospacing="0" w:line="590" w:lineRule="exact"/>
        <w:ind w:firstLineChars="200" w:firstLine="652"/>
        <w:jc w:val="both"/>
        <w:rPr>
          <w:rFonts w:ascii="仿宋_GB2312" w:eastAsia="仿宋_GB2312" w:hAnsi="仿宋_GB2312" w:cs="仿宋_GB2312"/>
          <w:sz w:val="32"/>
          <w:szCs w:val="32"/>
        </w:rPr>
      </w:pPr>
      <w:r>
        <w:rPr>
          <w:rFonts w:ascii="仿宋_GB2312" w:eastAsia="仿宋_GB2312" w:hAnsi="仿宋_GB2312" w:cs="仿宋_GB2312"/>
          <w:color w:val="000000"/>
          <w:spacing w:val="6"/>
          <w:sz w:val="32"/>
          <w:szCs w:val="32"/>
        </w:rPr>
        <w:t>理财产品的固有费用及根据实际业务需要可能产生的费用有：</w:t>
      </w:r>
    </w:p>
    <w:p w:rsidR="0081436D" w:rsidRDefault="00BD165F" w:rsidP="005D01BD">
      <w:pPr>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spacing w:val="6"/>
          <w:sz w:val="32"/>
          <w:szCs w:val="32"/>
        </w:rPr>
        <w:t>1.</w:t>
      </w:r>
      <w:r>
        <w:rPr>
          <w:rFonts w:ascii="仿宋_GB2312" w:eastAsia="仿宋_GB2312" w:hAnsi="仿宋_GB2312" w:cs="仿宋_GB2312"/>
          <w:spacing w:val="6"/>
          <w:sz w:val="32"/>
          <w:szCs w:val="32"/>
        </w:rPr>
        <w:t>管理费；</w:t>
      </w:r>
    </w:p>
    <w:p w:rsidR="0081436D" w:rsidRDefault="00BD165F" w:rsidP="005D01BD">
      <w:pPr>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spacing w:val="6"/>
          <w:sz w:val="32"/>
          <w:szCs w:val="32"/>
        </w:rPr>
        <w:t>2.</w:t>
      </w:r>
      <w:r>
        <w:rPr>
          <w:rFonts w:ascii="仿宋_GB2312" w:eastAsia="仿宋_GB2312" w:hAnsi="仿宋_GB2312" w:cs="仿宋_GB2312"/>
          <w:spacing w:val="6"/>
          <w:sz w:val="32"/>
          <w:szCs w:val="32"/>
        </w:rPr>
        <w:t>托管费；</w:t>
      </w:r>
    </w:p>
    <w:p w:rsidR="0081436D" w:rsidRDefault="00BD165F" w:rsidP="005D01BD">
      <w:pPr>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spacing w:val="6"/>
          <w:sz w:val="32"/>
          <w:szCs w:val="32"/>
        </w:rPr>
        <w:t>3.</w:t>
      </w:r>
      <w:r>
        <w:rPr>
          <w:rFonts w:ascii="仿宋_GB2312" w:eastAsia="仿宋_GB2312" w:hAnsi="仿宋_GB2312" w:cs="仿宋_GB2312"/>
          <w:spacing w:val="6"/>
          <w:sz w:val="32"/>
          <w:szCs w:val="32"/>
        </w:rPr>
        <w:t>销售服务费；</w:t>
      </w:r>
    </w:p>
    <w:p w:rsidR="0081436D" w:rsidRDefault="00BD165F" w:rsidP="005D01BD">
      <w:pPr>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spacing w:val="6"/>
          <w:sz w:val="32"/>
          <w:szCs w:val="32"/>
        </w:rPr>
        <w:t>4.</w:t>
      </w:r>
      <w:r>
        <w:rPr>
          <w:rFonts w:ascii="仿宋_GB2312" w:eastAsia="仿宋_GB2312" w:hAnsi="仿宋_GB2312" w:cs="仿宋_GB2312"/>
          <w:spacing w:val="6"/>
          <w:sz w:val="32"/>
          <w:szCs w:val="32"/>
        </w:rPr>
        <w:t>超额业绩报酬；</w:t>
      </w:r>
    </w:p>
    <w:p w:rsidR="0081436D" w:rsidRDefault="00BD165F" w:rsidP="005D01BD">
      <w:pPr>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spacing w:val="6"/>
          <w:sz w:val="32"/>
          <w:szCs w:val="32"/>
        </w:rPr>
        <w:t>5.</w:t>
      </w:r>
      <w:r>
        <w:rPr>
          <w:rFonts w:ascii="仿宋_GB2312" w:eastAsia="仿宋_GB2312" w:hAnsi="仿宋_GB2312" w:cs="仿宋_GB2312"/>
          <w:spacing w:val="6"/>
          <w:sz w:val="32"/>
          <w:szCs w:val="32"/>
        </w:rPr>
        <w:t>按照相关规定可以在理财产品财产中列支的其他费用。</w:t>
      </w:r>
    </w:p>
    <w:p w:rsidR="0081436D" w:rsidRDefault="00BD165F" w:rsidP="005D01BD">
      <w:pPr>
        <w:widowControl w:val="0"/>
        <w:spacing w:line="590" w:lineRule="exact"/>
        <w:ind w:firstLineChars="200" w:firstLine="652"/>
        <w:jc w:val="both"/>
        <w:rPr>
          <w:rFonts w:ascii="仿宋_GB2312" w:eastAsia="仿宋_GB2312" w:hAnsi="仿宋_GB2312" w:cs="仿宋_GB2312"/>
          <w:bCs/>
          <w:spacing w:val="6"/>
          <w:sz w:val="32"/>
          <w:szCs w:val="32"/>
        </w:rPr>
      </w:pPr>
      <w:r>
        <w:rPr>
          <w:rFonts w:ascii="仿宋_GB2312" w:eastAsia="仿宋_GB2312" w:hAnsi="仿宋_GB2312" w:cs="仿宋_GB2312"/>
          <w:bCs/>
          <w:spacing w:val="6"/>
          <w:sz w:val="32"/>
          <w:szCs w:val="32"/>
        </w:rPr>
        <w:t>（二）费用的计算方法、标准和支付方式</w:t>
      </w:r>
    </w:p>
    <w:p w:rsidR="0081436D" w:rsidRDefault="00BD165F" w:rsidP="005D01BD">
      <w:pPr>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spacing w:val="6"/>
          <w:sz w:val="32"/>
          <w:szCs w:val="32"/>
        </w:rPr>
        <w:t>1.</w:t>
      </w:r>
      <w:r>
        <w:rPr>
          <w:rFonts w:ascii="仿宋_GB2312" w:eastAsia="仿宋_GB2312" w:hAnsi="仿宋_GB2312" w:cs="仿宋_GB2312"/>
          <w:spacing w:val="6"/>
          <w:sz w:val="32"/>
          <w:szCs w:val="32"/>
        </w:rPr>
        <w:t>管理费</w:t>
      </w:r>
    </w:p>
    <w:p w:rsidR="0081436D" w:rsidRDefault="00BD165F" w:rsidP="005D01BD">
      <w:pPr>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spacing w:val="6"/>
          <w:sz w:val="32"/>
          <w:szCs w:val="32"/>
        </w:rPr>
        <w:t>理财产品的管理费每日计提，按季等频率支付，由管理人收取。计算方法如下：</w:t>
      </w:r>
      <w:r>
        <w:rPr>
          <w:rFonts w:ascii="仿宋_GB2312" w:eastAsia="仿宋_GB2312" w:hAnsi="仿宋_GB2312" w:cs="仿宋_GB2312"/>
          <w:spacing w:val="6"/>
          <w:sz w:val="32"/>
          <w:szCs w:val="32"/>
        </w:rPr>
        <w:t>H</w:t>
      </w:r>
      <w:r>
        <w:rPr>
          <w:rFonts w:ascii="仿宋_GB2312" w:eastAsia="仿宋_GB2312" w:hAnsi="仿宋_GB2312" w:cs="仿宋_GB2312"/>
          <w:spacing w:val="6"/>
          <w:sz w:val="32"/>
          <w:szCs w:val="32"/>
        </w:rPr>
        <w:t>＝</w:t>
      </w:r>
      <w:r>
        <w:rPr>
          <w:rFonts w:ascii="仿宋_GB2312" w:eastAsia="仿宋_GB2312" w:hAnsi="仿宋_GB2312" w:cs="仿宋_GB2312"/>
          <w:spacing w:val="6"/>
          <w:sz w:val="32"/>
          <w:szCs w:val="32"/>
        </w:rPr>
        <w:t>E×</w:t>
      </w:r>
      <w:r>
        <w:rPr>
          <w:rFonts w:ascii="仿宋_GB2312" w:eastAsia="仿宋_GB2312" w:hAnsi="仿宋_GB2312" w:cs="仿宋_GB2312"/>
          <w:spacing w:val="6"/>
          <w:sz w:val="32"/>
          <w:szCs w:val="32"/>
        </w:rPr>
        <w:t>管理费率</w:t>
      </w:r>
      <w:r>
        <w:rPr>
          <w:rFonts w:ascii="仿宋_GB2312" w:eastAsia="仿宋_GB2312" w:hAnsi="仿宋_GB2312" w:cs="仿宋_GB2312"/>
          <w:spacing w:val="6"/>
          <w:sz w:val="32"/>
          <w:szCs w:val="32"/>
        </w:rPr>
        <w:t>÷365</w:t>
      </w:r>
      <w:r>
        <w:rPr>
          <w:rFonts w:ascii="仿宋_GB2312" w:eastAsia="仿宋_GB2312" w:hAnsi="仿宋_GB2312" w:cs="仿宋_GB2312"/>
          <w:spacing w:val="6"/>
          <w:sz w:val="32"/>
          <w:szCs w:val="32"/>
        </w:rPr>
        <w:t>；</w:t>
      </w:r>
      <w:r>
        <w:rPr>
          <w:rFonts w:ascii="仿宋_GB2312" w:eastAsia="仿宋_GB2312" w:hAnsi="仿宋_GB2312" w:cs="仿宋_GB2312"/>
          <w:spacing w:val="6"/>
          <w:sz w:val="32"/>
          <w:szCs w:val="32"/>
        </w:rPr>
        <w:t>H</w:t>
      </w:r>
      <w:r>
        <w:rPr>
          <w:rFonts w:ascii="仿宋_GB2312" w:eastAsia="仿宋_GB2312" w:hAnsi="仿宋_GB2312" w:cs="仿宋_GB2312"/>
          <w:spacing w:val="6"/>
          <w:sz w:val="32"/>
          <w:szCs w:val="32"/>
        </w:rPr>
        <w:t>为每日应计提的管理费；</w:t>
      </w:r>
      <w:r>
        <w:rPr>
          <w:rFonts w:ascii="仿宋_GB2312" w:eastAsia="仿宋_GB2312" w:hAnsi="仿宋_GB2312" w:cs="仿宋_GB2312"/>
          <w:spacing w:val="6"/>
          <w:sz w:val="32"/>
          <w:szCs w:val="32"/>
        </w:rPr>
        <w:t>E</w:t>
      </w:r>
      <w:r>
        <w:rPr>
          <w:rFonts w:ascii="仿宋_GB2312" w:eastAsia="仿宋_GB2312" w:hAnsi="仿宋_GB2312" w:cs="仿宋_GB2312"/>
          <w:spacing w:val="6"/>
          <w:sz w:val="32"/>
          <w:szCs w:val="32"/>
        </w:rPr>
        <w:t>为前一日的理财产品资产净值。理财产品说明书另有约定的以说明书约定为准。</w:t>
      </w:r>
    </w:p>
    <w:p w:rsidR="0081436D" w:rsidRDefault="00BD165F" w:rsidP="005D01BD">
      <w:pPr>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spacing w:val="6"/>
          <w:sz w:val="32"/>
          <w:szCs w:val="32"/>
        </w:rPr>
        <w:t>2.</w:t>
      </w:r>
      <w:r>
        <w:rPr>
          <w:rFonts w:ascii="仿宋_GB2312" w:eastAsia="仿宋_GB2312" w:hAnsi="仿宋_GB2312" w:cs="仿宋_GB2312"/>
          <w:spacing w:val="6"/>
          <w:sz w:val="32"/>
          <w:szCs w:val="32"/>
        </w:rPr>
        <w:t>托管费</w:t>
      </w:r>
    </w:p>
    <w:p w:rsidR="0081436D" w:rsidRDefault="00BD165F" w:rsidP="005D01BD">
      <w:pPr>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spacing w:val="6"/>
          <w:sz w:val="32"/>
          <w:szCs w:val="32"/>
        </w:rPr>
        <w:t>理财产品的托管费</w:t>
      </w:r>
      <w:r>
        <w:rPr>
          <w:rFonts w:ascii="仿宋_GB2312" w:eastAsia="仿宋_GB2312" w:hAnsi="仿宋_GB2312" w:cs="仿宋_GB2312" w:hint="eastAsia"/>
          <w:spacing w:val="6"/>
          <w:sz w:val="32"/>
          <w:szCs w:val="32"/>
        </w:rPr>
        <w:t>为包含增值税的含税价格。托管费</w:t>
      </w:r>
      <w:r>
        <w:rPr>
          <w:rFonts w:ascii="仿宋_GB2312" w:eastAsia="仿宋_GB2312" w:hAnsi="仿宋_GB2312" w:cs="仿宋_GB2312"/>
          <w:spacing w:val="6"/>
          <w:sz w:val="32"/>
          <w:szCs w:val="32"/>
        </w:rPr>
        <w:t>每日计提，按季等频率支付，由托管人收取。计算方法如</w:t>
      </w:r>
      <w:r>
        <w:rPr>
          <w:rFonts w:ascii="仿宋_GB2312" w:eastAsia="仿宋_GB2312" w:hAnsi="仿宋_GB2312" w:cs="仿宋_GB2312"/>
          <w:spacing w:val="6"/>
          <w:sz w:val="32"/>
          <w:szCs w:val="32"/>
        </w:rPr>
        <w:lastRenderedPageBreak/>
        <w:t>下：</w:t>
      </w:r>
      <w:r>
        <w:rPr>
          <w:rFonts w:ascii="仿宋_GB2312" w:eastAsia="仿宋_GB2312" w:hAnsi="仿宋_GB2312" w:cs="仿宋_GB2312"/>
          <w:spacing w:val="6"/>
          <w:sz w:val="32"/>
          <w:szCs w:val="32"/>
        </w:rPr>
        <w:t>H</w:t>
      </w:r>
      <w:r>
        <w:rPr>
          <w:rFonts w:ascii="仿宋_GB2312" w:eastAsia="仿宋_GB2312" w:hAnsi="仿宋_GB2312" w:cs="仿宋_GB2312"/>
          <w:spacing w:val="6"/>
          <w:sz w:val="32"/>
          <w:szCs w:val="32"/>
        </w:rPr>
        <w:t>＝</w:t>
      </w:r>
      <w:r>
        <w:rPr>
          <w:rFonts w:ascii="仿宋_GB2312" w:eastAsia="仿宋_GB2312" w:hAnsi="仿宋_GB2312" w:cs="仿宋_GB2312"/>
          <w:spacing w:val="6"/>
          <w:sz w:val="32"/>
          <w:szCs w:val="32"/>
        </w:rPr>
        <w:t>E×</w:t>
      </w:r>
      <w:r>
        <w:rPr>
          <w:rFonts w:ascii="仿宋_GB2312" w:eastAsia="仿宋_GB2312" w:hAnsi="仿宋_GB2312" w:cs="仿宋_GB2312"/>
          <w:spacing w:val="6"/>
          <w:sz w:val="32"/>
          <w:szCs w:val="32"/>
        </w:rPr>
        <w:t>托管费率</w:t>
      </w:r>
      <w:r>
        <w:rPr>
          <w:rFonts w:ascii="仿宋_GB2312" w:eastAsia="仿宋_GB2312" w:hAnsi="仿宋_GB2312" w:cs="仿宋_GB2312"/>
          <w:spacing w:val="6"/>
          <w:sz w:val="32"/>
          <w:szCs w:val="32"/>
        </w:rPr>
        <w:t>÷365</w:t>
      </w:r>
      <w:r>
        <w:rPr>
          <w:rFonts w:ascii="仿宋_GB2312" w:eastAsia="仿宋_GB2312" w:hAnsi="仿宋_GB2312" w:cs="仿宋_GB2312"/>
          <w:spacing w:val="6"/>
          <w:sz w:val="32"/>
          <w:szCs w:val="32"/>
        </w:rPr>
        <w:t>；</w:t>
      </w:r>
      <w:r>
        <w:rPr>
          <w:rFonts w:ascii="仿宋_GB2312" w:eastAsia="仿宋_GB2312" w:hAnsi="仿宋_GB2312" w:cs="仿宋_GB2312"/>
          <w:spacing w:val="6"/>
          <w:sz w:val="32"/>
          <w:szCs w:val="32"/>
        </w:rPr>
        <w:t>H</w:t>
      </w:r>
      <w:r>
        <w:rPr>
          <w:rFonts w:ascii="仿宋_GB2312" w:eastAsia="仿宋_GB2312" w:hAnsi="仿宋_GB2312" w:cs="仿宋_GB2312"/>
          <w:spacing w:val="6"/>
          <w:sz w:val="32"/>
          <w:szCs w:val="32"/>
        </w:rPr>
        <w:t>为每日应计提的托管费；</w:t>
      </w:r>
      <w:r>
        <w:rPr>
          <w:rFonts w:ascii="仿宋_GB2312" w:eastAsia="仿宋_GB2312" w:hAnsi="仿宋_GB2312" w:cs="仿宋_GB2312"/>
          <w:spacing w:val="6"/>
          <w:sz w:val="32"/>
          <w:szCs w:val="32"/>
        </w:rPr>
        <w:t>E</w:t>
      </w:r>
      <w:r>
        <w:rPr>
          <w:rFonts w:ascii="仿宋_GB2312" w:eastAsia="仿宋_GB2312" w:hAnsi="仿宋_GB2312" w:cs="仿宋_GB2312"/>
          <w:spacing w:val="6"/>
          <w:sz w:val="32"/>
          <w:szCs w:val="32"/>
        </w:rPr>
        <w:t>为前一日的理财产品资产净值</w:t>
      </w:r>
      <w:r>
        <w:rPr>
          <w:rFonts w:ascii="仿宋_GB2312" w:eastAsia="仿宋_GB2312" w:hAnsi="仿宋_GB2312" w:cs="仿宋_GB2312" w:hint="eastAsia"/>
          <w:spacing w:val="6"/>
          <w:sz w:val="32"/>
          <w:szCs w:val="32"/>
        </w:rPr>
        <w:t>（特别地，理财产品成立日不计提，终止日计提托管费）</w:t>
      </w:r>
      <w:r>
        <w:rPr>
          <w:rFonts w:ascii="仿宋_GB2312" w:eastAsia="仿宋_GB2312" w:hAnsi="仿宋_GB2312" w:cs="仿宋_GB2312"/>
          <w:spacing w:val="6"/>
          <w:sz w:val="32"/>
          <w:szCs w:val="32"/>
        </w:rPr>
        <w:t>。理财产品说明书另有约定的以说明书约定为准。</w:t>
      </w:r>
    </w:p>
    <w:p w:rsidR="0081436D" w:rsidRDefault="00BD165F" w:rsidP="005D01BD">
      <w:pPr>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spacing w:val="6"/>
          <w:sz w:val="32"/>
          <w:szCs w:val="32"/>
        </w:rPr>
        <w:t>3.</w:t>
      </w:r>
      <w:r>
        <w:rPr>
          <w:rFonts w:ascii="仿宋_GB2312" w:eastAsia="仿宋_GB2312" w:hAnsi="仿宋_GB2312" w:cs="仿宋_GB2312"/>
          <w:spacing w:val="6"/>
          <w:sz w:val="32"/>
          <w:szCs w:val="32"/>
        </w:rPr>
        <w:t>销售服务费</w:t>
      </w:r>
    </w:p>
    <w:p w:rsidR="0081436D" w:rsidRDefault="00BD165F" w:rsidP="005D01BD">
      <w:pPr>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spacing w:val="6"/>
          <w:sz w:val="32"/>
          <w:szCs w:val="32"/>
        </w:rPr>
        <w:t>理财产品的销售服务费每日计提，按季等频率支付，由销售服务机构收取。计算方法如下：</w:t>
      </w:r>
      <w:r>
        <w:rPr>
          <w:rFonts w:ascii="仿宋_GB2312" w:eastAsia="仿宋_GB2312" w:hAnsi="仿宋_GB2312" w:cs="仿宋_GB2312"/>
          <w:spacing w:val="6"/>
          <w:sz w:val="32"/>
          <w:szCs w:val="32"/>
        </w:rPr>
        <w:t>H</w:t>
      </w:r>
      <w:r>
        <w:rPr>
          <w:rFonts w:ascii="仿宋_GB2312" w:eastAsia="仿宋_GB2312" w:hAnsi="仿宋_GB2312" w:cs="仿宋_GB2312"/>
          <w:spacing w:val="6"/>
          <w:sz w:val="32"/>
          <w:szCs w:val="32"/>
        </w:rPr>
        <w:t>＝</w:t>
      </w:r>
      <w:r>
        <w:rPr>
          <w:rFonts w:ascii="仿宋_GB2312" w:eastAsia="仿宋_GB2312" w:hAnsi="仿宋_GB2312" w:cs="仿宋_GB2312"/>
          <w:spacing w:val="6"/>
          <w:sz w:val="32"/>
          <w:szCs w:val="32"/>
        </w:rPr>
        <w:t>E×R÷365</w:t>
      </w:r>
      <w:r>
        <w:rPr>
          <w:rFonts w:ascii="仿宋_GB2312" w:eastAsia="仿宋_GB2312" w:hAnsi="仿宋_GB2312" w:cs="仿宋_GB2312"/>
          <w:spacing w:val="6"/>
          <w:sz w:val="32"/>
          <w:szCs w:val="32"/>
        </w:rPr>
        <w:t>；</w:t>
      </w:r>
      <w:r>
        <w:rPr>
          <w:rFonts w:ascii="仿宋_GB2312" w:eastAsia="仿宋_GB2312" w:hAnsi="仿宋_GB2312" w:cs="仿宋_GB2312"/>
          <w:spacing w:val="6"/>
          <w:sz w:val="32"/>
          <w:szCs w:val="32"/>
        </w:rPr>
        <w:t>H</w:t>
      </w:r>
      <w:r>
        <w:rPr>
          <w:rFonts w:ascii="仿宋_GB2312" w:eastAsia="仿宋_GB2312" w:hAnsi="仿宋_GB2312" w:cs="仿宋_GB2312"/>
          <w:spacing w:val="6"/>
          <w:sz w:val="32"/>
          <w:szCs w:val="32"/>
        </w:rPr>
        <w:t>为每日应计提的销售服务费；</w:t>
      </w:r>
      <w:r>
        <w:rPr>
          <w:rFonts w:ascii="仿宋_GB2312" w:eastAsia="仿宋_GB2312" w:hAnsi="仿宋_GB2312" w:cs="仿宋_GB2312"/>
          <w:spacing w:val="6"/>
          <w:sz w:val="32"/>
          <w:szCs w:val="32"/>
        </w:rPr>
        <w:t>E</w:t>
      </w:r>
      <w:r>
        <w:rPr>
          <w:rFonts w:ascii="仿宋_GB2312" w:eastAsia="仿宋_GB2312" w:hAnsi="仿宋_GB2312" w:cs="仿宋_GB2312"/>
          <w:spacing w:val="6"/>
          <w:sz w:val="32"/>
          <w:szCs w:val="32"/>
        </w:rPr>
        <w:t>为前一日理财产品资产净值；</w:t>
      </w:r>
      <w:r>
        <w:rPr>
          <w:rFonts w:ascii="仿宋_GB2312" w:eastAsia="仿宋_GB2312" w:hAnsi="仿宋_GB2312" w:cs="仿宋_GB2312"/>
          <w:spacing w:val="6"/>
          <w:sz w:val="32"/>
          <w:szCs w:val="32"/>
        </w:rPr>
        <w:t>R</w:t>
      </w:r>
      <w:r>
        <w:rPr>
          <w:rFonts w:ascii="仿宋_GB2312" w:eastAsia="仿宋_GB2312" w:hAnsi="仿宋_GB2312" w:cs="仿宋_GB2312"/>
          <w:spacing w:val="6"/>
          <w:sz w:val="32"/>
          <w:szCs w:val="32"/>
        </w:rPr>
        <w:t>为理财产品销售服务费年费率。如理财产品份额分类的，各类产品份额的销售服务费按该类份额前一日资产净值及销售服务费率计算。理财产品说明书另有约定的以说明书约定为准。</w:t>
      </w:r>
    </w:p>
    <w:p w:rsidR="0081436D" w:rsidRDefault="00BD165F" w:rsidP="005D01BD">
      <w:pPr>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spacing w:val="6"/>
          <w:sz w:val="32"/>
          <w:szCs w:val="32"/>
        </w:rPr>
        <w:t>4.</w:t>
      </w:r>
      <w:r>
        <w:rPr>
          <w:rFonts w:ascii="仿宋_GB2312" w:eastAsia="仿宋_GB2312" w:hAnsi="仿宋_GB2312" w:cs="仿宋_GB2312"/>
          <w:spacing w:val="6"/>
          <w:sz w:val="32"/>
          <w:szCs w:val="32"/>
        </w:rPr>
        <w:t>超额业绩报酬</w:t>
      </w:r>
    </w:p>
    <w:p w:rsidR="0081436D" w:rsidRDefault="00BD165F" w:rsidP="005D01BD">
      <w:pPr>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spacing w:val="6"/>
          <w:sz w:val="32"/>
          <w:szCs w:val="32"/>
        </w:rPr>
        <w:t>对于资产端计提业绩报酬的产品，管理人和托管人按照理财产品说明书中业绩报酬条款提取超额业绩报酬（若有），双方共同确</w:t>
      </w:r>
      <w:r>
        <w:rPr>
          <w:rFonts w:ascii="仿宋_GB2312" w:eastAsia="仿宋_GB2312" w:hAnsi="仿宋_GB2312" w:cs="仿宋_GB2312"/>
          <w:spacing w:val="6"/>
          <w:sz w:val="32"/>
          <w:szCs w:val="32"/>
        </w:rPr>
        <w:t>认无误后进行费用计提等业务处理。超额业绩报酬按照权责发生制原则逐日计提，理财产品说明书另有约定或监管机构另有规定的从其规定。对于客户端计提业绩报酬的产品，即</w:t>
      </w:r>
      <w:r>
        <w:rPr>
          <w:rFonts w:ascii="仿宋_GB2312" w:eastAsia="仿宋_GB2312" w:hAnsi="仿宋_GB2312" w:cs="仿宋_GB2312"/>
          <w:spacing w:val="6"/>
          <w:sz w:val="32"/>
          <w:szCs w:val="32"/>
        </w:rPr>
        <w:t>TA</w:t>
      </w:r>
      <w:r>
        <w:rPr>
          <w:rFonts w:ascii="仿宋_GB2312" w:eastAsia="仿宋_GB2312" w:hAnsi="仿宋_GB2312" w:cs="仿宋_GB2312"/>
          <w:spacing w:val="6"/>
          <w:sz w:val="32"/>
          <w:szCs w:val="32"/>
        </w:rPr>
        <w:t>计提模式，以管理人计算为准，托管人按照管理人发送的</w:t>
      </w:r>
      <w:r>
        <w:rPr>
          <w:rFonts w:ascii="仿宋_GB2312" w:eastAsia="仿宋_GB2312" w:hAnsi="仿宋_GB2312" w:cs="仿宋_GB2312"/>
          <w:spacing w:val="6"/>
          <w:sz w:val="32"/>
          <w:szCs w:val="32"/>
        </w:rPr>
        <w:t>TA</w:t>
      </w:r>
      <w:r>
        <w:rPr>
          <w:rFonts w:ascii="仿宋_GB2312" w:eastAsia="仿宋_GB2312" w:hAnsi="仿宋_GB2312" w:cs="仿宋_GB2312"/>
          <w:spacing w:val="6"/>
          <w:sz w:val="32"/>
          <w:szCs w:val="32"/>
        </w:rPr>
        <w:t>数据进行处理，超额业绩报酬应包含在托管人向管理人划付的投资者赎回、分红或到期兑付款项中。</w:t>
      </w:r>
    </w:p>
    <w:p w:rsidR="0081436D" w:rsidRDefault="00BD165F" w:rsidP="005D01BD">
      <w:pPr>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spacing w:val="6"/>
          <w:sz w:val="32"/>
          <w:szCs w:val="32"/>
        </w:rPr>
        <w:t>5.</w:t>
      </w:r>
      <w:r>
        <w:rPr>
          <w:rFonts w:ascii="仿宋_GB2312" w:eastAsia="仿宋_GB2312" w:hAnsi="仿宋_GB2312" w:cs="仿宋_GB2312"/>
          <w:spacing w:val="6"/>
          <w:sz w:val="32"/>
          <w:szCs w:val="32"/>
        </w:rPr>
        <w:t>其他费用</w:t>
      </w:r>
    </w:p>
    <w:p w:rsidR="0081436D" w:rsidRDefault="00BD165F" w:rsidP="005D01BD">
      <w:pPr>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spacing w:val="6"/>
          <w:sz w:val="32"/>
          <w:szCs w:val="32"/>
        </w:rPr>
        <w:lastRenderedPageBreak/>
        <w:t>按实际发生时从理财产品财产中支付或以理财产品说明书中约定为准。理财产品费用中由管理人先行垫付的，管理人有权从理财产品财产中及时获付。</w:t>
      </w:r>
    </w:p>
    <w:p w:rsidR="0081436D" w:rsidRDefault="00BD165F" w:rsidP="005D01BD">
      <w:pPr>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spacing w:val="6"/>
          <w:sz w:val="32"/>
          <w:szCs w:val="32"/>
        </w:rPr>
        <w:t>在支付理财产品各种费用时，如果管理人先行垫付，则管理人需在付</w:t>
      </w:r>
      <w:r>
        <w:rPr>
          <w:rFonts w:ascii="仿宋_GB2312" w:eastAsia="仿宋_GB2312" w:hAnsi="仿宋_GB2312" w:cs="仿宋_GB2312"/>
          <w:spacing w:val="6"/>
          <w:sz w:val="32"/>
          <w:szCs w:val="32"/>
        </w:rPr>
        <w:t>款日向托管人提供如银行回单等垫付单据复印件作为托管人核算处理的依据。</w:t>
      </w:r>
    </w:p>
    <w:p w:rsidR="0081436D" w:rsidRDefault="00BD165F" w:rsidP="005D01BD">
      <w:pPr>
        <w:widowControl w:val="0"/>
        <w:spacing w:line="590" w:lineRule="exact"/>
        <w:ind w:firstLineChars="200" w:firstLine="652"/>
        <w:jc w:val="both"/>
        <w:rPr>
          <w:rFonts w:ascii="仿宋_GB2312" w:eastAsia="仿宋_GB2312" w:hAnsi="仿宋_GB2312" w:cs="仿宋_GB2312"/>
          <w:bCs/>
          <w:spacing w:val="6"/>
          <w:sz w:val="32"/>
          <w:szCs w:val="32"/>
        </w:rPr>
      </w:pPr>
      <w:r>
        <w:rPr>
          <w:rFonts w:ascii="仿宋_GB2312" w:eastAsia="仿宋_GB2312" w:hAnsi="仿宋_GB2312" w:cs="仿宋_GB2312"/>
          <w:spacing w:val="6"/>
          <w:sz w:val="32"/>
          <w:szCs w:val="32"/>
        </w:rPr>
        <w:t>6.</w:t>
      </w:r>
      <w:r>
        <w:rPr>
          <w:rFonts w:ascii="仿宋_GB2312" w:eastAsia="仿宋_GB2312" w:hAnsi="仿宋_GB2312" w:cs="仿宋_GB2312"/>
          <w:spacing w:val="6"/>
          <w:sz w:val="32"/>
          <w:szCs w:val="32"/>
        </w:rPr>
        <w:t>理财产品存续期间，相关费用条款发生变动的，管理人应不晚于更新当日将相关变动文件以双方认可的方式发送至托管人。</w:t>
      </w:r>
    </w:p>
    <w:p w:rsidR="0081436D" w:rsidRDefault="00BD165F" w:rsidP="005D01BD">
      <w:pPr>
        <w:widowControl w:val="0"/>
        <w:spacing w:line="590" w:lineRule="exact"/>
        <w:ind w:firstLineChars="200" w:firstLine="652"/>
        <w:jc w:val="both"/>
        <w:rPr>
          <w:rFonts w:ascii="仿宋_GB2312" w:eastAsia="仿宋_GB2312" w:hAnsi="仿宋_GB2312" w:cs="仿宋_GB2312"/>
          <w:bCs/>
          <w:spacing w:val="6"/>
          <w:sz w:val="32"/>
          <w:szCs w:val="32"/>
        </w:rPr>
      </w:pPr>
      <w:r>
        <w:rPr>
          <w:rFonts w:ascii="仿宋_GB2312" w:eastAsia="仿宋_GB2312" w:hAnsi="仿宋_GB2312" w:cs="仿宋_GB2312"/>
          <w:bCs/>
          <w:spacing w:val="6"/>
          <w:sz w:val="32"/>
          <w:szCs w:val="32"/>
        </w:rPr>
        <w:t>（三）理财产品税收</w:t>
      </w:r>
    </w:p>
    <w:p w:rsidR="0081436D" w:rsidRDefault="00BD165F" w:rsidP="005D01BD">
      <w:pPr>
        <w:widowControl w:val="0"/>
        <w:spacing w:line="590" w:lineRule="exact"/>
        <w:ind w:firstLineChars="200" w:firstLine="652"/>
        <w:jc w:val="both"/>
        <w:rPr>
          <w:rFonts w:ascii="仿宋_GB2312" w:eastAsia="仿宋_GB2312" w:hAnsi="仿宋_GB2312" w:cs="仿宋_GB2312"/>
          <w:bCs/>
          <w:spacing w:val="6"/>
          <w:sz w:val="32"/>
          <w:szCs w:val="32"/>
        </w:rPr>
      </w:pPr>
      <w:r>
        <w:rPr>
          <w:rFonts w:ascii="仿宋_GB2312" w:eastAsia="仿宋_GB2312" w:hAnsi="仿宋_GB2312" w:cs="仿宋_GB2312"/>
          <w:bCs/>
          <w:spacing w:val="6"/>
          <w:sz w:val="32"/>
          <w:szCs w:val="32"/>
        </w:rPr>
        <w:t>理财产品运作过程中涉及的各纳税主体，其纳税义务按国家税收法律、法规执行。</w:t>
      </w:r>
    </w:p>
    <w:p w:rsidR="0081436D" w:rsidRDefault="00BD165F" w:rsidP="005D01BD">
      <w:pPr>
        <w:pStyle w:val="Heading21"/>
        <w:widowControl w:val="0"/>
        <w:spacing w:line="590" w:lineRule="exact"/>
        <w:ind w:firstLineChars="200" w:firstLine="652"/>
        <w:jc w:val="both"/>
        <w:outlineLvl w:val="9"/>
        <w:rPr>
          <w:rFonts w:ascii="仿宋_GB2312" w:eastAsia="仿宋_GB2312" w:hAnsi="仿宋_GB2312" w:cs="仿宋_GB2312"/>
          <w:b w:val="0"/>
          <w:bCs/>
          <w:spacing w:val="6"/>
          <w:sz w:val="32"/>
          <w:szCs w:val="32"/>
        </w:rPr>
      </w:pPr>
      <w:r>
        <w:rPr>
          <w:rFonts w:ascii="仿宋_GB2312" w:eastAsia="仿宋_GB2312" w:hAnsi="仿宋_GB2312" w:cs="仿宋_GB2312"/>
          <w:b w:val="0"/>
          <w:bCs/>
          <w:spacing w:val="6"/>
          <w:sz w:val="32"/>
          <w:szCs w:val="32"/>
        </w:rPr>
        <w:t>（四）理财产品费用的其他约定</w:t>
      </w:r>
    </w:p>
    <w:p w:rsidR="0081436D" w:rsidRDefault="00BD165F" w:rsidP="005D01BD">
      <w:pPr>
        <w:pStyle w:val="Heading21"/>
        <w:widowControl w:val="0"/>
        <w:spacing w:line="590" w:lineRule="exact"/>
        <w:ind w:firstLineChars="200" w:firstLine="652"/>
        <w:jc w:val="both"/>
        <w:outlineLvl w:val="9"/>
        <w:rPr>
          <w:rFonts w:ascii="仿宋_GB2312" w:eastAsia="仿宋_GB2312" w:hAnsi="仿宋_GB2312" w:cs="仿宋_GB2312"/>
          <w:b w:val="0"/>
          <w:bCs/>
          <w:spacing w:val="6"/>
          <w:sz w:val="32"/>
          <w:szCs w:val="32"/>
        </w:rPr>
      </w:pPr>
      <w:r>
        <w:rPr>
          <w:rFonts w:ascii="仿宋_GB2312" w:eastAsia="仿宋_GB2312" w:hAnsi="仿宋_GB2312" w:cs="仿宋_GB2312"/>
          <w:b w:val="0"/>
          <w:bCs/>
          <w:spacing w:val="6"/>
          <w:sz w:val="32"/>
          <w:szCs w:val="32"/>
        </w:rPr>
        <w:t>1.</w:t>
      </w:r>
      <w:r>
        <w:rPr>
          <w:rFonts w:ascii="仿宋_GB2312" w:eastAsia="仿宋_GB2312" w:hAnsi="仿宋_GB2312" w:cs="仿宋_GB2312"/>
          <w:b w:val="0"/>
          <w:bCs/>
          <w:spacing w:val="6"/>
          <w:sz w:val="32"/>
          <w:szCs w:val="32"/>
        </w:rPr>
        <w:t>管理人和托管人可根据实际情况另行约定费用支付时间。</w:t>
      </w:r>
    </w:p>
    <w:p w:rsidR="0081436D" w:rsidRDefault="00BD165F" w:rsidP="005D01BD">
      <w:pPr>
        <w:pStyle w:val="Heading21"/>
        <w:widowControl w:val="0"/>
        <w:spacing w:line="590" w:lineRule="exact"/>
        <w:ind w:firstLineChars="200" w:firstLine="652"/>
        <w:jc w:val="both"/>
        <w:outlineLvl w:val="9"/>
        <w:rPr>
          <w:rFonts w:ascii="仿宋_GB2312" w:eastAsia="仿宋_GB2312" w:hAnsi="仿宋_GB2312" w:cs="仿宋_GB2312"/>
          <w:b w:val="0"/>
          <w:bCs/>
          <w:spacing w:val="6"/>
          <w:sz w:val="32"/>
          <w:szCs w:val="32"/>
        </w:rPr>
      </w:pPr>
      <w:r>
        <w:rPr>
          <w:rFonts w:ascii="仿宋_GB2312" w:eastAsia="仿宋_GB2312" w:hAnsi="仿宋_GB2312" w:cs="仿宋_GB2312"/>
          <w:b w:val="0"/>
          <w:bCs/>
          <w:spacing w:val="6"/>
          <w:sz w:val="32"/>
          <w:szCs w:val="32"/>
        </w:rPr>
        <w:t>2.</w:t>
      </w:r>
      <w:r>
        <w:rPr>
          <w:rFonts w:ascii="仿宋_GB2312" w:eastAsia="仿宋_GB2312" w:hAnsi="仿宋_GB2312" w:cs="仿宋_GB2312"/>
          <w:b w:val="0"/>
          <w:bCs/>
          <w:spacing w:val="6"/>
          <w:sz w:val="32"/>
          <w:szCs w:val="32"/>
        </w:rPr>
        <w:t>若遇法定节假日、休息日或不可抗力致使无法按时支付的，顺延至最近可支付日支付。</w:t>
      </w:r>
    </w:p>
    <w:p w:rsidR="0081436D" w:rsidRDefault="00BD165F" w:rsidP="005D01BD">
      <w:pPr>
        <w:pStyle w:val="Heading21"/>
        <w:widowControl w:val="0"/>
        <w:spacing w:line="590" w:lineRule="exact"/>
        <w:ind w:firstLineChars="200" w:firstLine="652"/>
        <w:jc w:val="both"/>
        <w:outlineLvl w:val="9"/>
        <w:rPr>
          <w:rFonts w:ascii="仿宋_GB2312" w:eastAsia="仿宋_GB2312" w:hAnsi="仿宋_GB2312" w:cs="仿宋_GB2312"/>
          <w:b w:val="0"/>
          <w:bCs/>
          <w:spacing w:val="6"/>
          <w:sz w:val="32"/>
          <w:szCs w:val="32"/>
        </w:rPr>
      </w:pPr>
      <w:r>
        <w:rPr>
          <w:rFonts w:ascii="仿宋_GB2312" w:eastAsia="仿宋_GB2312" w:hAnsi="仿宋_GB2312" w:cs="仿宋_GB2312"/>
          <w:b w:val="0"/>
          <w:bCs/>
          <w:spacing w:val="6"/>
          <w:sz w:val="32"/>
          <w:szCs w:val="32"/>
        </w:rPr>
        <w:t>3.</w:t>
      </w:r>
      <w:r>
        <w:rPr>
          <w:rFonts w:ascii="仿宋_GB2312" w:eastAsia="仿宋_GB2312" w:hAnsi="仿宋_GB2312" w:cs="仿宋_GB2312"/>
          <w:b w:val="0"/>
          <w:bCs/>
          <w:spacing w:val="6"/>
          <w:sz w:val="32"/>
          <w:szCs w:val="32"/>
        </w:rPr>
        <w:t>理财产品可于开放</w:t>
      </w:r>
      <w:proofErr w:type="gramStart"/>
      <w:r>
        <w:rPr>
          <w:rFonts w:ascii="仿宋_GB2312" w:eastAsia="仿宋_GB2312" w:hAnsi="仿宋_GB2312" w:cs="仿宋_GB2312"/>
          <w:b w:val="0"/>
          <w:bCs/>
          <w:spacing w:val="6"/>
          <w:sz w:val="32"/>
          <w:szCs w:val="32"/>
        </w:rPr>
        <w:t>日根据</w:t>
      </w:r>
      <w:proofErr w:type="gramEnd"/>
      <w:r>
        <w:rPr>
          <w:rFonts w:ascii="仿宋_GB2312" w:eastAsia="仿宋_GB2312" w:hAnsi="仿宋_GB2312" w:cs="仿宋_GB2312"/>
          <w:b w:val="0"/>
          <w:bCs/>
          <w:spacing w:val="6"/>
          <w:sz w:val="32"/>
          <w:szCs w:val="32"/>
        </w:rPr>
        <w:t>市场利率情况调整业绩比较基准，调整后的业绩比较基准将根据信息披露规则进行披露</w:t>
      </w:r>
      <w:r>
        <w:rPr>
          <w:rFonts w:ascii="仿宋_GB2312" w:eastAsia="仿宋_GB2312" w:hAnsi="仿宋_GB2312" w:cs="仿宋_GB2312"/>
          <w:b w:val="0"/>
          <w:bCs/>
          <w:spacing w:val="6"/>
          <w:sz w:val="32"/>
          <w:szCs w:val="32"/>
        </w:rPr>
        <w:t>,</w:t>
      </w:r>
      <w:r>
        <w:rPr>
          <w:rFonts w:ascii="仿宋_GB2312" w:eastAsia="仿宋_GB2312" w:hAnsi="仿宋_GB2312" w:cs="仿宋_GB2312"/>
          <w:b w:val="0"/>
          <w:bCs/>
          <w:spacing w:val="6"/>
          <w:sz w:val="32"/>
          <w:szCs w:val="32"/>
        </w:rPr>
        <w:t>管理人需在产品成立日及开放日将业绩比较基准的披露文件提供给托管人。</w:t>
      </w:r>
    </w:p>
    <w:p w:rsidR="0081436D" w:rsidRDefault="0081436D" w:rsidP="005D01BD">
      <w:pPr>
        <w:widowControl w:val="0"/>
        <w:spacing w:line="590" w:lineRule="exact"/>
        <w:ind w:firstLineChars="200" w:firstLine="652"/>
        <w:jc w:val="both"/>
        <w:rPr>
          <w:rFonts w:ascii="仿宋_GB2312" w:eastAsia="仿宋_GB2312" w:hAnsi="仿宋_GB2312" w:cs="仿宋_GB2312"/>
          <w:bCs/>
          <w:spacing w:val="6"/>
          <w:sz w:val="32"/>
          <w:szCs w:val="32"/>
        </w:rPr>
      </w:pPr>
    </w:p>
    <w:p w:rsidR="0081436D" w:rsidRDefault="00BD165F">
      <w:pPr>
        <w:pStyle w:val="1"/>
        <w:tabs>
          <w:tab w:val="clear" w:pos="0"/>
          <w:tab w:val="clear" w:pos="5246"/>
        </w:tabs>
        <w:spacing w:before="0" w:line="590" w:lineRule="exact"/>
        <w:ind w:left="0"/>
        <w:jc w:val="center"/>
        <w:rPr>
          <w:rFonts w:ascii="仿宋_GB2312" w:eastAsia="仿宋_GB2312" w:hAnsi="仿宋_GB2312"/>
          <w:sz w:val="32"/>
          <w:szCs w:val="32"/>
        </w:rPr>
      </w:pPr>
      <w:bookmarkStart w:id="177" w:name="_Toc20953"/>
      <w:bookmarkStart w:id="178" w:name="_Toc352"/>
      <w:bookmarkStart w:id="179" w:name="_Toc25052"/>
      <w:r>
        <w:rPr>
          <w:rFonts w:ascii="仿宋_GB2312" w:eastAsia="仿宋_GB2312" w:hAnsi="仿宋_GB2312"/>
          <w:sz w:val="32"/>
          <w:szCs w:val="32"/>
        </w:rPr>
        <w:lastRenderedPageBreak/>
        <w:t>理财产品变更、终止、清算</w:t>
      </w:r>
      <w:bookmarkEnd w:id="177"/>
      <w:bookmarkEnd w:id="178"/>
      <w:bookmarkEnd w:id="179"/>
    </w:p>
    <w:p w:rsidR="0081436D" w:rsidRDefault="00BD165F">
      <w:pPr>
        <w:widowControl w:val="0"/>
        <w:spacing w:line="590" w:lineRule="exact"/>
        <w:ind w:firstLineChars="200" w:firstLine="640"/>
        <w:jc w:val="both"/>
        <w:rPr>
          <w:rFonts w:ascii="仿宋_GB2312" w:eastAsia="仿宋_GB2312" w:hAnsi="仿宋_GB2312"/>
          <w:color w:val="000000"/>
          <w:sz w:val="32"/>
          <w:szCs w:val="32"/>
        </w:rPr>
      </w:pPr>
      <w:r>
        <w:rPr>
          <w:rFonts w:ascii="仿宋_GB2312" w:eastAsia="仿宋_GB2312" w:hAnsi="仿宋_GB2312"/>
          <w:color w:val="000000"/>
          <w:sz w:val="32"/>
          <w:szCs w:val="32"/>
        </w:rPr>
        <w:t>（一）理财产品的变更</w:t>
      </w:r>
    </w:p>
    <w:p w:rsidR="0081436D" w:rsidRDefault="00BD165F">
      <w:pPr>
        <w:widowControl w:val="0"/>
        <w:spacing w:line="590" w:lineRule="exact"/>
        <w:ind w:firstLineChars="200" w:firstLine="640"/>
        <w:jc w:val="both"/>
        <w:rPr>
          <w:rFonts w:ascii="仿宋_GB2312" w:eastAsia="仿宋_GB2312" w:hAnsi="仿宋_GB2312"/>
          <w:color w:val="000000"/>
          <w:sz w:val="32"/>
          <w:szCs w:val="32"/>
        </w:rPr>
      </w:pPr>
      <w:r>
        <w:rPr>
          <w:rFonts w:ascii="仿宋_GB2312" w:eastAsia="仿宋_GB2312" w:hAnsi="仿宋_GB2312"/>
          <w:color w:val="000000"/>
          <w:sz w:val="32"/>
          <w:szCs w:val="32"/>
        </w:rPr>
        <w:t>理财产品发生变更时，管理人应提前通知并向托管人提供发生变更的理财产品说明书或公告等相关文件，作为托管人进行托管运作的书面依据</w:t>
      </w:r>
      <w:r>
        <w:rPr>
          <w:rFonts w:ascii="仿宋_GB2312" w:eastAsia="仿宋_GB2312" w:hAnsi="仿宋_GB2312" w:hint="eastAsia"/>
          <w:color w:val="000000"/>
          <w:sz w:val="32"/>
          <w:szCs w:val="32"/>
        </w:rPr>
        <w:t>。对于变更内容，如有需要，双方可另行签订补充协议等书面文件</w:t>
      </w:r>
      <w:r>
        <w:rPr>
          <w:rFonts w:ascii="仿宋_GB2312" w:eastAsia="仿宋_GB2312" w:hAnsi="仿宋_GB2312"/>
          <w:color w:val="000000"/>
          <w:sz w:val="32"/>
          <w:szCs w:val="32"/>
        </w:rPr>
        <w:t>。</w:t>
      </w:r>
    </w:p>
    <w:p w:rsidR="0081436D" w:rsidRDefault="00BD165F">
      <w:pPr>
        <w:widowControl w:val="0"/>
        <w:spacing w:line="590" w:lineRule="exact"/>
        <w:ind w:firstLineChars="200" w:firstLine="640"/>
        <w:jc w:val="both"/>
        <w:rPr>
          <w:rFonts w:ascii="仿宋_GB2312" w:eastAsia="仿宋_GB2312" w:hAnsi="仿宋_GB2312"/>
          <w:color w:val="000000"/>
          <w:sz w:val="32"/>
          <w:szCs w:val="32"/>
        </w:rPr>
      </w:pPr>
      <w:r>
        <w:rPr>
          <w:rFonts w:ascii="仿宋_GB2312" w:eastAsia="仿宋_GB2312" w:hAnsi="仿宋_GB2312"/>
          <w:color w:val="000000"/>
          <w:sz w:val="32"/>
          <w:szCs w:val="32"/>
        </w:rPr>
        <w:t>（二）理财产品的终止</w:t>
      </w:r>
    </w:p>
    <w:p w:rsidR="0081436D" w:rsidRDefault="00BD165F">
      <w:pPr>
        <w:widowControl w:val="0"/>
        <w:spacing w:line="590" w:lineRule="exact"/>
        <w:ind w:firstLineChars="200" w:firstLine="640"/>
        <w:jc w:val="both"/>
        <w:rPr>
          <w:rFonts w:ascii="仿宋_GB2312" w:eastAsia="仿宋_GB2312" w:hAnsi="仿宋_GB2312"/>
          <w:color w:val="000000"/>
          <w:sz w:val="32"/>
          <w:szCs w:val="32"/>
        </w:rPr>
      </w:pPr>
      <w:r>
        <w:rPr>
          <w:rFonts w:ascii="仿宋_GB2312" w:eastAsia="仿宋_GB2312" w:hAnsi="仿宋_GB2312"/>
          <w:color w:val="000000"/>
          <w:sz w:val="32"/>
          <w:szCs w:val="32"/>
        </w:rPr>
        <w:t>1.</w:t>
      </w:r>
      <w:r>
        <w:rPr>
          <w:rFonts w:ascii="仿宋_GB2312" w:eastAsia="仿宋_GB2312" w:hAnsi="仿宋_GB2312"/>
          <w:color w:val="000000"/>
          <w:sz w:val="32"/>
          <w:szCs w:val="32"/>
        </w:rPr>
        <w:t>有下列情形之一的，理财产品终止：</w:t>
      </w:r>
    </w:p>
    <w:p w:rsidR="0081436D" w:rsidRDefault="00BD165F">
      <w:pPr>
        <w:widowControl w:val="0"/>
        <w:spacing w:line="590" w:lineRule="exact"/>
        <w:ind w:firstLineChars="200" w:firstLine="640"/>
        <w:jc w:val="both"/>
        <w:rPr>
          <w:rFonts w:ascii="仿宋_GB2312" w:eastAsia="仿宋_GB2312" w:hAnsi="仿宋_GB2312"/>
          <w:color w:val="000000"/>
          <w:sz w:val="32"/>
          <w:szCs w:val="32"/>
        </w:rPr>
      </w:pPr>
      <w:r>
        <w:rPr>
          <w:rFonts w:ascii="仿宋_GB2312" w:eastAsia="仿宋_GB2312" w:hAnsi="仿宋_GB2312"/>
          <w:color w:val="000000"/>
          <w:sz w:val="32"/>
          <w:szCs w:val="32"/>
        </w:rPr>
        <w:t>理财产品存续期内如遇监管机构要求或法律法规规定需要终止，或自然灾害、金融市场危机、战争、国家政策变化等不可抗力因素或意外事件导致理财产品无法正常运作，或管理人有合理理由认为将影响理财产品正常运作的其他情形，管理人有权提前终止理财产品。</w:t>
      </w:r>
    </w:p>
    <w:p w:rsidR="0081436D" w:rsidRDefault="00BD165F">
      <w:pPr>
        <w:widowControl w:val="0"/>
        <w:spacing w:line="590" w:lineRule="exact"/>
        <w:ind w:firstLineChars="200" w:firstLine="640"/>
        <w:jc w:val="both"/>
        <w:rPr>
          <w:rFonts w:ascii="仿宋_GB2312" w:eastAsia="仿宋_GB2312" w:hAnsi="仿宋_GB2312"/>
          <w:color w:val="000000"/>
          <w:sz w:val="32"/>
          <w:szCs w:val="32"/>
        </w:rPr>
      </w:pPr>
      <w:r>
        <w:rPr>
          <w:rFonts w:ascii="仿宋_GB2312" w:eastAsia="仿宋_GB2312" w:hAnsi="仿宋_GB2312"/>
          <w:color w:val="000000"/>
          <w:sz w:val="32"/>
          <w:szCs w:val="32"/>
        </w:rPr>
        <w:t>对于开放式理财产品，理财产品总份额在约定时间内低于约定数额，或理财产品资产净值在约定时间内低于约定金额，管理人有权提前终止理财产品。</w:t>
      </w:r>
    </w:p>
    <w:p w:rsidR="0081436D" w:rsidRDefault="00BD165F">
      <w:pPr>
        <w:widowControl w:val="0"/>
        <w:spacing w:line="590" w:lineRule="exact"/>
        <w:ind w:firstLineChars="200" w:firstLine="640"/>
        <w:jc w:val="both"/>
        <w:rPr>
          <w:rFonts w:ascii="仿宋_GB2312" w:eastAsia="仿宋_GB2312" w:hAnsi="仿宋_GB2312"/>
          <w:color w:val="000000"/>
          <w:sz w:val="32"/>
          <w:szCs w:val="32"/>
        </w:rPr>
      </w:pPr>
      <w:r>
        <w:rPr>
          <w:rFonts w:ascii="仿宋_GB2312" w:eastAsia="仿宋_GB2312" w:hAnsi="仿宋_GB2312"/>
          <w:color w:val="000000"/>
          <w:sz w:val="32"/>
          <w:szCs w:val="32"/>
        </w:rPr>
        <w:t>如发生可能引起理财产品提前终止的事项，管理人应及时通知托管人，以便托管人做好清算准备。</w:t>
      </w:r>
    </w:p>
    <w:p w:rsidR="0081436D" w:rsidRDefault="00BD165F">
      <w:pPr>
        <w:widowControl w:val="0"/>
        <w:spacing w:line="590" w:lineRule="exact"/>
        <w:ind w:firstLineChars="200" w:firstLine="640"/>
        <w:jc w:val="both"/>
        <w:rPr>
          <w:rFonts w:ascii="仿宋_GB2312" w:eastAsia="仿宋_GB2312" w:hAnsi="仿宋_GB2312"/>
          <w:sz w:val="32"/>
          <w:szCs w:val="32"/>
        </w:rPr>
      </w:pPr>
      <w:r>
        <w:rPr>
          <w:rFonts w:ascii="仿宋_GB2312" w:eastAsia="仿宋_GB2312" w:hAnsi="仿宋_GB2312"/>
          <w:color w:val="000000"/>
          <w:sz w:val="32"/>
          <w:szCs w:val="32"/>
        </w:rPr>
        <w:t>2.</w:t>
      </w:r>
      <w:r>
        <w:rPr>
          <w:rFonts w:ascii="仿宋_GB2312" w:eastAsia="仿宋_GB2312" w:hAnsi="仿宋_GB2312"/>
          <w:color w:val="000000"/>
          <w:sz w:val="32"/>
          <w:szCs w:val="32"/>
        </w:rPr>
        <w:t>理财产品终止（包括到期终止、提前终止</w:t>
      </w:r>
      <w:r>
        <w:rPr>
          <w:rFonts w:ascii="仿宋_GB2312" w:eastAsia="仿宋_GB2312" w:hAnsi="仿宋_GB2312"/>
          <w:color w:val="000000"/>
          <w:sz w:val="32"/>
          <w:szCs w:val="32"/>
        </w:rPr>
        <w:t>),</w:t>
      </w:r>
      <w:r>
        <w:rPr>
          <w:rFonts w:ascii="仿宋_GB2312" w:eastAsia="仿宋_GB2312" w:hAnsi="仿宋_GB2312"/>
          <w:color w:val="000000"/>
          <w:sz w:val="32"/>
          <w:szCs w:val="32"/>
        </w:rPr>
        <w:t>管理人应及</w:t>
      </w:r>
      <w:r>
        <w:rPr>
          <w:rFonts w:ascii="仿宋_GB2312" w:eastAsia="仿宋_GB2312" w:hAnsi="仿宋_GB2312"/>
          <w:color w:val="000000"/>
          <w:sz w:val="32"/>
          <w:szCs w:val="32"/>
        </w:rPr>
        <w:t>时通知托管人，并将终止日理财产品估值表、科目余额表发送托管人</w:t>
      </w:r>
      <w:r>
        <w:rPr>
          <w:rFonts w:ascii="仿宋_GB2312" w:eastAsia="仿宋_GB2312" w:hAnsi="仿宋_GB2312"/>
          <w:color w:val="000000"/>
          <w:sz w:val="32"/>
          <w:szCs w:val="32"/>
        </w:rPr>
        <w:t>,</w:t>
      </w:r>
      <w:r>
        <w:rPr>
          <w:rFonts w:ascii="仿宋_GB2312" w:eastAsia="仿宋_GB2312" w:hAnsi="仿宋_GB2312"/>
          <w:color w:val="000000"/>
          <w:sz w:val="32"/>
          <w:szCs w:val="32"/>
        </w:rPr>
        <w:t>托管人配合管理人做好产品清算工作。</w:t>
      </w:r>
    </w:p>
    <w:p w:rsidR="0081436D" w:rsidRDefault="00BD165F" w:rsidP="005D01BD">
      <w:pPr>
        <w:widowControl w:val="0"/>
        <w:spacing w:line="590" w:lineRule="exact"/>
        <w:ind w:firstLineChars="200" w:firstLine="652"/>
        <w:jc w:val="both"/>
        <w:rPr>
          <w:rFonts w:ascii="仿宋_GB2312" w:eastAsia="仿宋_GB2312" w:hAnsi="仿宋_GB2312"/>
          <w:color w:val="000000"/>
          <w:sz w:val="32"/>
          <w:szCs w:val="32"/>
        </w:rPr>
      </w:pPr>
      <w:r>
        <w:rPr>
          <w:rFonts w:ascii="仿宋_GB2312" w:eastAsia="仿宋_GB2312" w:hAnsi="仿宋_GB2312"/>
          <w:spacing w:val="6"/>
          <w:sz w:val="32"/>
          <w:szCs w:val="32"/>
        </w:rPr>
        <w:t>3.</w:t>
      </w:r>
      <w:r>
        <w:rPr>
          <w:rFonts w:ascii="仿宋_GB2312" w:eastAsia="仿宋_GB2312" w:hAnsi="仿宋_GB2312"/>
          <w:color w:val="000000"/>
          <w:sz w:val="32"/>
          <w:szCs w:val="32"/>
        </w:rPr>
        <w:t>托管人在收到管理人发送的理财产品终止通知及理财产品估值表、科目余额表后</w:t>
      </w:r>
      <w:r>
        <w:rPr>
          <w:rFonts w:ascii="仿宋_GB2312" w:eastAsia="仿宋_GB2312" w:hAnsi="仿宋_GB2312"/>
          <w:color w:val="000000"/>
          <w:sz w:val="32"/>
          <w:szCs w:val="32"/>
        </w:rPr>
        <w:t>1</w:t>
      </w:r>
      <w:r>
        <w:rPr>
          <w:rFonts w:ascii="仿宋_GB2312" w:eastAsia="仿宋_GB2312" w:hAnsi="仿宋_GB2312"/>
          <w:color w:val="000000"/>
          <w:sz w:val="32"/>
          <w:szCs w:val="32"/>
        </w:rPr>
        <w:t>个工作日内完成理财产品</w:t>
      </w:r>
      <w:r>
        <w:rPr>
          <w:rFonts w:ascii="仿宋_GB2312" w:eastAsia="仿宋_GB2312" w:hAnsi="仿宋_GB2312"/>
          <w:color w:val="000000"/>
          <w:sz w:val="32"/>
          <w:szCs w:val="32"/>
        </w:rPr>
        <w:lastRenderedPageBreak/>
        <w:t>科目余额表的复核。</w:t>
      </w:r>
    </w:p>
    <w:p w:rsidR="0081436D" w:rsidRDefault="00BD165F">
      <w:pPr>
        <w:widowControl w:val="0"/>
        <w:spacing w:line="590" w:lineRule="exact"/>
        <w:ind w:firstLineChars="200" w:firstLine="640"/>
        <w:jc w:val="both"/>
        <w:rPr>
          <w:rFonts w:ascii="仿宋_GB2312" w:eastAsia="仿宋_GB2312" w:hAnsi="仿宋_GB2312"/>
          <w:color w:val="000000"/>
          <w:sz w:val="32"/>
          <w:szCs w:val="32"/>
        </w:rPr>
      </w:pPr>
      <w:r>
        <w:rPr>
          <w:rFonts w:ascii="仿宋_GB2312" w:eastAsia="仿宋_GB2312" w:hAnsi="仿宋_GB2312"/>
          <w:color w:val="000000"/>
          <w:sz w:val="32"/>
          <w:szCs w:val="32"/>
        </w:rPr>
        <w:t>（三）理财产品终止资金清算</w:t>
      </w:r>
    </w:p>
    <w:p w:rsidR="0081436D" w:rsidRDefault="00BD165F">
      <w:pPr>
        <w:widowControl w:val="0"/>
        <w:spacing w:line="590" w:lineRule="exact"/>
        <w:ind w:firstLineChars="200" w:firstLine="640"/>
        <w:jc w:val="both"/>
        <w:rPr>
          <w:rFonts w:ascii="仿宋_GB2312" w:eastAsia="仿宋_GB2312" w:hAnsi="仿宋_GB2312"/>
          <w:color w:val="000000"/>
          <w:sz w:val="32"/>
          <w:szCs w:val="32"/>
        </w:rPr>
      </w:pPr>
      <w:r>
        <w:rPr>
          <w:rFonts w:ascii="仿宋_GB2312" w:eastAsia="仿宋_GB2312" w:hAnsi="仿宋_GB2312"/>
          <w:color w:val="000000"/>
          <w:sz w:val="32"/>
          <w:szCs w:val="32"/>
        </w:rPr>
        <w:t>1.</w:t>
      </w:r>
      <w:r>
        <w:rPr>
          <w:rFonts w:ascii="仿宋_GB2312" w:eastAsia="仿宋_GB2312" w:hAnsi="仿宋_GB2312"/>
          <w:color w:val="000000"/>
          <w:sz w:val="32"/>
          <w:szCs w:val="32"/>
        </w:rPr>
        <w:t>管理人根据已核对一致的管理费、托管费等应付费用余额向托管人发送划款指令</w:t>
      </w:r>
      <w:r>
        <w:rPr>
          <w:rFonts w:ascii="仿宋_GB2312" w:eastAsia="仿宋_GB2312" w:hAnsi="仿宋_GB2312"/>
          <w:color w:val="000000"/>
          <w:sz w:val="32"/>
          <w:szCs w:val="32"/>
        </w:rPr>
        <w:t>,</w:t>
      </w:r>
      <w:r>
        <w:rPr>
          <w:rFonts w:ascii="仿宋_GB2312" w:eastAsia="仿宋_GB2312" w:hAnsi="仿宋_GB2312"/>
          <w:color w:val="000000"/>
          <w:sz w:val="32"/>
          <w:szCs w:val="32"/>
        </w:rPr>
        <w:t>并提供理财产品到期公告或者清算报告，托管人审核无误后执行划付。</w:t>
      </w:r>
    </w:p>
    <w:p w:rsidR="0081436D" w:rsidRDefault="00BD165F">
      <w:pPr>
        <w:widowControl w:val="0"/>
        <w:spacing w:line="590" w:lineRule="exact"/>
        <w:ind w:firstLineChars="200" w:firstLine="640"/>
        <w:jc w:val="both"/>
        <w:rPr>
          <w:rFonts w:ascii="仿宋_GB2312" w:eastAsia="仿宋_GB2312" w:hAnsi="仿宋_GB2312"/>
          <w:color w:val="000000"/>
          <w:sz w:val="32"/>
          <w:szCs w:val="32"/>
        </w:rPr>
      </w:pPr>
      <w:r>
        <w:rPr>
          <w:rFonts w:ascii="仿宋_GB2312" w:eastAsia="仿宋_GB2312" w:hAnsi="仿宋_GB2312"/>
          <w:color w:val="000000"/>
          <w:sz w:val="32"/>
          <w:szCs w:val="32"/>
        </w:rPr>
        <w:t>2.</w:t>
      </w:r>
      <w:r>
        <w:rPr>
          <w:rFonts w:ascii="仿宋_GB2312" w:eastAsia="仿宋_GB2312" w:hAnsi="仿宋_GB2312"/>
          <w:color w:val="000000"/>
          <w:sz w:val="32"/>
          <w:szCs w:val="32"/>
        </w:rPr>
        <w:t>托管人应按照管理人发送的划款指令及相关文件划付应付投资者清算款项至</w:t>
      </w:r>
      <w:r>
        <w:rPr>
          <w:rFonts w:ascii="仿宋_GB2312" w:eastAsia="仿宋_GB2312" w:hAnsi="仿宋_GB2312"/>
          <w:sz w:val="32"/>
          <w:szCs w:val="32"/>
        </w:rPr>
        <w:t>理财产品资金清算账户。</w:t>
      </w:r>
    </w:p>
    <w:p w:rsidR="0081436D" w:rsidRDefault="00BD165F">
      <w:pPr>
        <w:widowControl w:val="0"/>
        <w:spacing w:line="590" w:lineRule="exact"/>
        <w:ind w:firstLineChars="200" w:firstLine="640"/>
        <w:jc w:val="both"/>
        <w:rPr>
          <w:rFonts w:ascii="仿宋_GB2312" w:eastAsia="仿宋_GB2312" w:hAnsi="仿宋_GB2312"/>
          <w:spacing w:val="6"/>
          <w:sz w:val="32"/>
          <w:szCs w:val="32"/>
        </w:rPr>
      </w:pPr>
      <w:r>
        <w:rPr>
          <w:rFonts w:ascii="仿宋_GB2312" w:eastAsia="仿宋_GB2312" w:hAnsi="仿宋_GB2312"/>
          <w:color w:val="000000"/>
          <w:sz w:val="32"/>
          <w:szCs w:val="32"/>
        </w:rPr>
        <w:t>3.</w:t>
      </w:r>
      <w:r>
        <w:rPr>
          <w:rFonts w:ascii="仿宋_GB2312" w:eastAsia="仿宋_GB2312" w:hAnsi="仿宋_GB2312"/>
          <w:color w:val="000000"/>
          <w:sz w:val="32"/>
          <w:szCs w:val="32"/>
        </w:rPr>
        <w:t>管理人或销售机构负责将理财产品</w:t>
      </w:r>
      <w:r>
        <w:rPr>
          <w:rFonts w:ascii="仿宋_GB2312" w:eastAsia="仿宋_GB2312" w:hAnsi="仿宋_GB2312"/>
          <w:color w:val="000000"/>
          <w:sz w:val="32"/>
          <w:szCs w:val="32"/>
        </w:rPr>
        <w:t>的投资者清算款项由理财产品资金清算账户划至投资者指定账户。托管人不负责处理。</w:t>
      </w:r>
    </w:p>
    <w:p w:rsidR="0081436D" w:rsidRDefault="00BD165F">
      <w:pPr>
        <w:widowControl w:val="0"/>
        <w:spacing w:line="590" w:lineRule="exact"/>
        <w:ind w:firstLineChars="200" w:firstLine="640"/>
        <w:jc w:val="both"/>
        <w:rPr>
          <w:rFonts w:ascii="仿宋_GB2312" w:eastAsia="仿宋_GB2312" w:hAnsi="仿宋_GB2312"/>
          <w:color w:val="000000"/>
          <w:sz w:val="32"/>
          <w:szCs w:val="32"/>
        </w:rPr>
      </w:pPr>
      <w:r>
        <w:rPr>
          <w:rFonts w:ascii="仿宋_GB2312" w:eastAsia="仿宋_GB2312" w:hAnsi="仿宋_GB2312"/>
          <w:color w:val="000000"/>
          <w:sz w:val="32"/>
          <w:szCs w:val="32"/>
        </w:rPr>
        <w:t>4.</w:t>
      </w:r>
      <w:r>
        <w:rPr>
          <w:rFonts w:ascii="仿宋_GB2312" w:eastAsia="仿宋_GB2312" w:hAnsi="仿宋_GB2312"/>
          <w:color w:val="000000"/>
          <w:sz w:val="32"/>
          <w:szCs w:val="32"/>
        </w:rPr>
        <w:t>理财产品终止时变现的全部资产扣除应由理财产品财产承担的理财产品管理费、托管费、清算费用、税费及其他相关费用，并支付完毕投资者本金和收益后，由管理人享有理财产品剩余清算财产。</w:t>
      </w:r>
    </w:p>
    <w:p w:rsidR="0081436D" w:rsidRDefault="00BD165F">
      <w:pPr>
        <w:widowControl w:val="0"/>
        <w:spacing w:line="590" w:lineRule="exact"/>
        <w:ind w:firstLineChars="200" w:firstLine="640"/>
        <w:jc w:val="both"/>
        <w:rPr>
          <w:rFonts w:ascii="仿宋_GB2312" w:eastAsia="仿宋_GB2312" w:hAnsi="仿宋_GB2312"/>
          <w:color w:val="000000"/>
          <w:sz w:val="32"/>
          <w:szCs w:val="32"/>
        </w:rPr>
      </w:pPr>
      <w:r>
        <w:rPr>
          <w:rFonts w:ascii="仿宋_GB2312" w:eastAsia="仿宋_GB2312" w:hAnsi="仿宋_GB2312"/>
          <w:color w:val="000000"/>
          <w:sz w:val="32"/>
          <w:szCs w:val="32"/>
        </w:rPr>
        <w:t>5.</w:t>
      </w:r>
      <w:r>
        <w:rPr>
          <w:rFonts w:ascii="仿宋_GB2312" w:eastAsia="仿宋_GB2312" w:hAnsi="仿宋_GB2312"/>
          <w:color w:val="000000"/>
          <w:sz w:val="32"/>
          <w:szCs w:val="32"/>
        </w:rPr>
        <w:t>理财产品终止，且其资金托管账户全部清算完成后，管理人应及时向托管人发送书面销户申请，配合完成资金托管账户的销户事宜。</w:t>
      </w:r>
    </w:p>
    <w:p w:rsidR="0081436D" w:rsidRDefault="00BD165F">
      <w:pPr>
        <w:widowControl w:val="0"/>
        <w:spacing w:line="590" w:lineRule="exact"/>
        <w:ind w:firstLineChars="200" w:firstLine="640"/>
        <w:jc w:val="both"/>
        <w:rPr>
          <w:rFonts w:ascii="仿宋_GB2312" w:eastAsia="仿宋_GB2312" w:hAnsi="仿宋_GB2312"/>
          <w:color w:val="000000"/>
          <w:sz w:val="32"/>
          <w:szCs w:val="32"/>
        </w:rPr>
      </w:pPr>
      <w:r>
        <w:rPr>
          <w:rFonts w:ascii="仿宋_GB2312" w:eastAsia="仿宋_GB2312" w:hAnsi="仿宋_GB2312"/>
          <w:color w:val="000000"/>
          <w:sz w:val="32"/>
          <w:szCs w:val="32"/>
        </w:rPr>
        <w:t>6.</w:t>
      </w:r>
      <w:r>
        <w:rPr>
          <w:rFonts w:ascii="仿宋_GB2312" w:eastAsia="仿宋_GB2312" w:hAnsi="仿宋_GB2312"/>
          <w:color w:val="000000"/>
          <w:sz w:val="32"/>
          <w:szCs w:val="32"/>
        </w:rPr>
        <w:t>如遇提前终止理财产品</w:t>
      </w:r>
      <w:r>
        <w:rPr>
          <w:rFonts w:ascii="仿宋_GB2312" w:eastAsia="仿宋_GB2312" w:hAnsi="仿宋_GB2312"/>
          <w:color w:val="000000"/>
          <w:sz w:val="32"/>
          <w:szCs w:val="32"/>
        </w:rPr>
        <w:t>,</w:t>
      </w:r>
      <w:r>
        <w:rPr>
          <w:rFonts w:ascii="仿宋_GB2312" w:eastAsia="仿宋_GB2312" w:hAnsi="仿宋_GB2312"/>
          <w:color w:val="000000"/>
          <w:sz w:val="32"/>
          <w:szCs w:val="32"/>
        </w:rPr>
        <w:t>相关业务按照上述流程办理。</w:t>
      </w:r>
    </w:p>
    <w:p w:rsidR="0081436D" w:rsidRDefault="0081436D">
      <w:pPr>
        <w:widowControl w:val="0"/>
        <w:spacing w:line="590" w:lineRule="exact"/>
        <w:ind w:firstLineChars="200" w:firstLine="640"/>
        <w:jc w:val="both"/>
        <w:rPr>
          <w:rFonts w:ascii="仿宋_GB2312" w:eastAsia="仿宋_GB2312" w:hAnsi="仿宋_GB2312"/>
          <w:color w:val="000000"/>
          <w:sz w:val="32"/>
          <w:szCs w:val="32"/>
        </w:rPr>
      </w:pPr>
    </w:p>
    <w:p w:rsidR="0081436D" w:rsidRDefault="00BD165F">
      <w:pPr>
        <w:pStyle w:val="1"/>
        <w:tabs>
          <w:tab w:val="clear" w:pos="0"/>
          <w:tab w:val="clear" w:pos="5246"/>
        </w:tabs>
        <w:spacing w:before="0" w:line="590" w:lineRule="exact"/>
        <w:ind w:left="0"/>
        <w:jc w:val="center"/>
        <w:rPr>
          <w:rFonts w:ascii="仿宋_GB2312" w:eastAsia="仿宋_GB2312" w:hAnsi="仿宋_GB2312"/>
          <w:sz w:val="32"/>
          <w:szCs w:val="32"/>
        </w:rPr>
      </w:pPr>
      <w:bookmarkStart w:id="180" w:name="_Toc18816"/>
      <w:bookmarkStart w:id="181" w:name="_Toc27757"/>
      <w:bookmarkStart w:id="182" w:name="_Toc14505"/>
      <w:bookmarkStart w:id="183" w:name="_Toc18612"/>
      <w:bookmarkStart w:id="184" w:name="_Toc15180"/>
      <w:bookmarkStart w:id="185" w:name="_Toc25645"/>
      <w:r>
        <w:rPr>
          <w:rFonts w:ascii="仿宋_GB2312" w:eastAsia="仿宋_GB2312" w:hAnsi="仿宋_GB2312"/>
          <w:sz w:val="32"/>
          <w:szCs w:val="32"/>
        </w:rPr>
        <w:t>信息披露</w:t>
      </w:r>
      <w:bookmarkEnd w:id="180"/>
      <w:bookmarkEnd w:id="181"/>
      <w:bookmarkEnd w:id="182"/>
      <w:bookmarkEnd w:id="183"/>
      <w:bookmarkEnd w:id="184"/>
      <w:bookmarkEnd w:id="185"/>
    </w:p>
    <w:p w:rsidR="0081436D" w:rsidRDefault="00BD165F" w:rsidP="005D01BD">
      <w:pPr>
        <w:widowControl w:val="0"/>
        <w:spacing w:line="590" w:lineRule="exact"/>
        <w:ind w:firstLineChars="200" w:firstLine="652"/>
        <w:jc w:val="both"/>
        <w:rPr>
          <w:rFonts w:ascii="仿宋_GB2312" w:eastAsia="仿宋_GB2312" w:hAnsi="仿宋_GB2312"/>
          <w:spacing w:val="6"/>
          <w:sz w:val="32"/>
          <w:szCs w:val="32"/>
        </w:rPr>
      </w:pPr>
      <w:r>
        <w:rPr>
          <w:rFonts w:ascii="仿宋_GB2312" w:eastAsia="仿宋_GB2312" w:hAnsi="仿宋_GB2312"/>
          <w:spacing w:val="6"/>
          <w:sz w:val="32"/>
          <w:szCs w:val="32"/>
        </w:rPr>
        <w:t>管理人和托管人应根据相关法律法规的规定各自承担相应的信息披露职责。</w:t>
      </w:r>
    </w:p>
    <w:p w:rsidR="0081436D" w:rsidRDefault="00BD165F" w:rsidP="005D01BD">
      <w:pPr>
        <w:widowControl w:val="0"/>
        <w:spacing w:line="590" w:lineRule="exact"/>
        <w:ind w:firstLineChars="200" w:firstLine="652"/>
        <w:jc w:val="both"/>
        <w:rPr>
          <w:rFonts w:ascii="仿宋_GB2312" w:eastAsia="仿宋_GB2312" w:hAnsi="仿宋_GB2312"/>
          <w:sz w:val="32"/>
          <w:szCs w:val="32"/>
        </w:rPr>
      </w:pPr>
      <w:r>
        <w:rPr>
          <w:rFonts w:ascii="仿宋_GB2312" w:eastAsia="仿宋_GB2312" w:hAnsi="仿宋_GB2312"/>
          <w:spacing w:val="6"/>
          <w:sz w:val="32"/>
          <w:szCs w:val="32"/>
        </w:rPr>
        <w:t>管理人应当按照</w:t>
      </w:r>
      <w:r>
        <w:rPr>
          <w:rFonts w:ascii="仿宋_GB2312" w:eastAsia="仿宋_GB2312" w:hAnsi="仿宋_GB2312"/>
          <w:sz w:val="32"/>
          <w:szCs w:val="32"/>
        </w:rPr>
        <w:t>国家金融监督管理总局</w:t>
      </w:r>
      <w:r>
        <w:rPr>
          <w:rFonts w:ascii="仿宋_GB2312" w:eastAsia="仿宋_GB2312" w:hAnsi="仿宋_GB2312"/>
          <w:spacing w:val="6"/>
          <w:sz w:val="32"/>
          <w:szCs w:val="32"/>
        </w:rPr>
        <w:t>关于信息披露</w:t>
      </w:r>
      <w:r>
        <w:rPr>
          <w:rFonts w:ascii="仿宋_GB2312" w:eastAsia="仿宋_GB2312" w:hAnsi="仿宋_GB2312"/>
          <w:spacing w:val="6"/>
          <w:sz w:val="32"/>
          <w:szCs w:val="32"/>
        </w:rPr>
        <w:lastRenderedPageBreak/>
        <w:t>的有关规定及本</w:t>
      </w:r>
      <w:r>
        <w:rPr>
          <w:rFonts w:ascii="仿宋_GB2312" w:eastAsia="仿宋_GB2312" w:hAnsi="仿宋_GB2312" w:hint="eastAsia"/>
          <w:spacing w:val="6"/>
          <w:sz w:val="32"/>
          <w:szCs w:val="32"/>
        </w:rPr>
        <w:t>协议</w:t>
      </w:r>
      <w:r>
        <w:rPr>
          <w:rFonts w:ascii="仿宋_GB2312" w:eastAsia="仿宋_GB2312" w:hAnsi="仿宋_GB2312"/>
          <w:spacing w:val="6"/>
          <w:sz w:val="32"/>
          <w:szCs w:val="32"/>
        </w:rPr>
        <w:t>的约定进行理财产品的信息披露，包括但不限于理财产品销售文件、定期报告、临时报告、重大事项报告、到期公告、托管协议等，管理人应当每半年披露其从事理财业务活动的有关信息，披露的信息应当至少包括以下内容：当期发行和到期的理财产品类型、数量和金额、期末存续理财产品数量和金额，列明各类理财产品的占比及其变化情况，以及理财产品直接和间接投资的资产种类、规模和占比等信息。</w:t>
      </w:r>
    </w:p>
    <w:p w:rsidR="0081436D" w:rsidRDefault="00BD165F">
      <w:pPr>
        <w:widowControl w:val="0"/>
        <w:spacing w:line="590" w:lineRule="exact"/>
        <w:ind w:firstLineChars="200" w:firstLine="640"/>
        <w:jc w:val="both"/>
        <w:rPr>
          <w:rFonts w:ascii="仿宋_GB2312" w:eastAsia="仿宋_GB2312" w:hAnsi="仿宋_GB2312"/>
          <w:sz w:val="32"/>
          <w:szCs w:val="32"/>
          <w:shd w:val="clear" w:color="FFFFFF" w:fill="FFFFFF"/>
        </w:rPr>
      </w:pPr>
      <w:r>
        <w:rPr>
          <w:rFonts w:ascii="仿宋_GB2312" w:eastAsia="仿宋_GB2312" w:hAnsi="仿宋_GB2312"/>
          <w:sz w:val="32"/>
          <w:szCs w:val="32"/>
          <w:shd w:val="clear" w:color="FFFFFF" w:fill="FFFFFF"/>
        </w:rPr>
        <w:t>托管人办理与理财产品托管业务活动相关的信息披露事项，包括对理财产品信息披露文件中的理财产品财务会计报告等出具意见，以及在公募理财产品半年度和年度报告中出具理财托管机构报告等。托管人对相关信息进行复核、审查，并向管理人采用出具书面文件等方式确认。</w:t>
      </w:r>
      <w:r>
        <w:rPr>
          <w:rFonts w:ascii="仿宋_GB2312" w:eastAsia="仿宋_GB2312" w:hAnsi="仿宋_GB2312"/>
          <w:color w:val="000000"/>
          <w:sz w:val="32"/>
          <w:szCs w:val="32"/>
          <w:shd w:val="clear" w:color="FFFFFF" w:fill="FFFFFF"/>
        </w:rPr>
        <w:t>对于私募理财产品的托管协议披露事宜，委托管理人代为披露。</w:t>
      </w:r>
    </w:p>
    <w:p w:rsidR="0081436D" w:rsidRDefault="00BD165F">
      <w:pPr>
        <w:pStyle w:val="Heading21"/>
        <w:widowControl w:val="0"/>
        <w:spacing w:line="590" w:lineRule="exact"/>
        <w:ind w:firstLineChars="200" w:firstLine="640"/>
        <w:jc w:val="both"/>
        <w:outlineLvl w:val="9"/>
        <w:rPr>
          <w:rFonts w:ascii="仿宋_GB2312" w:eastAsia="仿宋_GB2312" w:hAnsi="仿宋_GB2312"/>
          <w:b w:val="0"/>
          <w:sz w:val="32"/>
          <w:szCs w:val="32"/>
          <w:shd w:val="clear" w:color="FFFFFF" w:fill="FFFFFF"/>
        </w:rPr>
      </w:pPr>
      <w:r>
        <w:rPr>
          <w:rFonts w:ascii="仿宋_GB2312" w:eastAsia="仿宋_GB2312" w:hAnsi="仿宋_GB2312"/>
          <w:b w:val="0"/>
          <w:sz w:val="32"/>
          <w:szCs w:val="32"/>
          <w:shd w:val="clear" w:color="FFFFFF" w:fill="FFFFFF"/>
        </w:rPr>
        <w:t>当出现下述情况时，管理人和托管人可暂停或延迟披露理财产品相关信息：</w:t>
      </w:r>
    </w:p>
    <w:p w:rsidR="0081436D" w:rsidRDefault="00BD165F">
      <w:pPr>
        <w:pStyle w:val="Heading21"/>
        <w:widowControl w:val="0"/>
        <w:spacing w:line="590" w:lineRule="exact"/>
        <w:ind w:firstLineChars="200" w:firstLine="640"/>
        <w:jc w:val="both"/>
        <w:outlineLvl w:val="9"/>
        <w:rPr>
          <w:rFonts w:ascii="仿宋_GB2312" w:eastAsia="仿宋_GB2312" w:hAnsi="仿宋_GB2312"/>
          <w:b w:val="0"/>
          <w:sz w:val="32"/>
          <w:szCs w:val="32"/>
          <w:shd w:val="clear" w:color="FFFFFF" w:fill="FFFFFF"/>
        </w:rPr>
      </w:pPr>
      <w:r>
        <w:rPr>
          <w:rFonts w:ascii="仿宋_GB2312" w:eastAsia="仿宋_GB2312" w:hAnsi="仿宋_GB2312"/>
          <w:b w:val="0"/>
          <w:sz w:val="32"/>
          <w:szCs w:val="32"/>
          <w:shd w:val="clear" w:color="FFFFFF" w:fill="FFFFFF"/>
        </w:rPr>
        <w:t>1.</w:t>
      </w:r>
      <w:r>
        <w:rPr>
          <w:rFonts w:ascii="仿宋_GB2312" w:eastAsia="仿宋_GB2312" w:hAnsi="仿宋_GB2312"/>
          <w:b w:val="0"/>
          <w:sz w:val="32"/>
          <w:szCs w:val="32"/>
          <w:shd w:val="clear" w:color="FFFFFF" w:fill="FFFFFF"/>
        </w:rPr>
        <w:t>理财产品投资所涉及的证券、期货交易市场遇法定节假日或因其他原因暂停营业时。</w:t>
      </w:r>
    </w:p>
    <w:p w:rsidR="0081436D" w:rsidRDefault="00BD165F">
      <w:pPr>
        <w:pStyle w:val="Heading21"/>
        <w:widowControl w:val="0"/>
        <w:spacing w:line="590" w:lineRule="exact"/>
        <w:ind w:firstLineChars="200" w:firstLine="640"/>
        <w:jc w:val="both"/>
        <w:outlineLvl w:val="9"/>
        <w:rPr>
          <w:rFonts w:ascii="仿宋_GB2312" w:eastAsia="仿宋_GB2312" w:hAnsi="仿宋_GB2312"/>
          <w:b w:val="0"/>
          <w:sz w:val="32"/>
          <w:szCs w:val="32"/>
          <w:shd w:val="clear" w:color="FFFFFF" w:fill="FFFFFF"/>
        </w:rPr>
      </w:pPr>
      <w:r>
        <w:rPr>
          <w:rFonts w:ascii="仿宋_GB2312" w:eastAsia="仿宋_GB2312" w:hAnsi="仿宋_GB2312"/>
          <w:b w:val="0"/>
          <w:sz w:val="32"/>
          <w:szCs w:val="32"/>
          <w:shd w:val="clear" w:color="FFFFFF" w:fill="FFFFFF"/>
        </w:rPr>
        <w:t>2.</w:t>
      </w:r>
      <w:r>
        <w:rPr>
          <w:rFonts w:ascii="仿宋_GB2312" w:eastAsia="仿宋_GB2312" w:hAnsi="仿宋_GB2312"/>
          <w:b w:val="0"/>
          <w:sz w:val="32"/>
          <w:szCs w:val="32"/>
          <w:shd w:val="clear" w:color="FFFFFF" w:fill="FFFFFF"/>
        </w:rPr>
        <w:t>因不可抗力或其他情形致使管理人、托管人无法准确评估理财产品</w:t>
      </w:r>
      <w:r>
        <w:rPr>
          <w:rFonts w:ascii="仿宋_GB2312" w:eastAsia="仿宋_GB2312" w:hAnsi="仿宋_GB2312"/>
          <w:b w:val="0"/>
          <w:sz w:val="32"/>
          <w:szCs w:val="32"/>
          <w:shd w:val="clear" w:color="FFFFFF" w:fill="FFFFFF"/>
        </w:rPr>
        <w:t>资产价值时。</w:t>
      </w:r>
    </w:p>
    <w:p w:rsidR="0081436D" w:rsidRDefault="00BD165F">
      <w:pPr>
        <w:pStyle w:val="Heading21"/>
        <w:widowControl w:val="0"/>
        <w:spacing w:line="590" w:lineRule="exact"/>
        <w:ind w:firstLineChars="200" w:firstLine="640"/>
        <w:jc w:val="both"/>
        <w:outlineLvl w:val="9"/>
        <w:rPr>
          <w:rFonts w:ascii="仿宋_GB2312" w:eastAsia="仿宋_GB2312" w:hAnsi="仿宋_GB2312"/>
          <w:b w:val="0"/>
          <w:sz w:val="32"/>
          <w:szCs w:val="32"/>
          <w:shd w:val="clear" w:color="FFFFFF" w:fill="FFFFFF"/>
        </w:rPr>
      </w:pPr>
      <w:r>
        <w:rPr>
          <w:rFonts w:ascii="仿宋_GB2312" w:eastAsia="仿宋_GB2312" w:hAnsi="仿宋_GB2312"/>
          <w:b w:val="0"/>
          <w:sz w:val="32"/>
          <w:szCs w:val="32"/>
          <w:shd w:val="clear" w:color="FFFFFF" w:fill="FFFFFF"/>
        </w:rPr>
        <w:t>3.</w:t>
      </w:r>
      <w:r>
        <w:rPr>
          <w:rFonts w:ascii="仿宋_GB2312" w:eastAsia="仿宋_GB2312" w:hAnsi="仿宋_GB2312"/>
          <w:b w:val="0"/>
          <w:sz w:val="32"/>
          <w:szCs w:val="32"/>
          <w:shd w:val="clear" w:color="FFFFFF" w:fill="FFFFFF"/>
        </w:rPr>
        <w:t>发生理财产品说明书约定的暂停估值的情形。</w:t>
      </w:r>
    </w:p>
    <w:p w:rsidR="0081436D" w:rsidRDefault="00BD165F">
      <w:pPr>
        <w:pStyle w:val="Heading21"/>
        <w:widowControl w:val="0"/>
        <w:spacing w:line="590" w:lineRule="exact"/>
        <w:ind w:firstLineChars="200" w:firstLine="640"/>
        <w:jc w:val="both"/>
        <w:outlineLvl w:val="9"/>
        <w:rPr>
          <w:sz w:val="32"/>
          <w:szCs w:val="32"/>
        </w:rPr>
      </w:pPr>
      <w:r>
        <w:rPr>
          <w:rFonts w:ascii="仿宋_GB2312" w:eastAsia="仿宋_GB2312" w:hAnsi="仿宋_GB2312"/>
          <w:b w:val="0"/>
          <w:sz w:val="32"/>
          <w:szCs w:val="32"/>
          <w:shd w:val="clear" w:color="FFFFFF" w:fill="FFFFFF"/>
        </w:rPr>
        <w:t>4.</w:t>
      </w:r>
      <w:r>
        <w:rPr>
          <w:rFonts w:ascii="仿宋_GB2312" w:eastAsia="仿宋_GB2312" w:hAnsi="仿宋_GB2312"/>
          <w:b w:val="0"/>
          <w:sz w:val="32"/>
          <w:szCs w:val="32"/>
          <w:shd w:val="clear" w:color="FFFFFF" w:fill="FFFFFF"/>
        </w:rPr>
        <w:t>法律法规规定、</w:t>
      </w:r>
      <w:r>
        <w:rPr>
          <w:rFonts w:ascii="仿宋_GB2312" w:eastAsia="仿宋_GB2312" w:hAnsi="仿宋_GB2312"/>
          <w:b w:val="0"/>
          <w:bCs/>
          <w:color w:val="000000"/>
          <w:sz w:val="32"/>
          <w:szCs w:val="32"/>
        </w:rPr>
        <w:t>国家金融监督管理总局</w:t>
      </w:r>
      <w:r>
        <w:rPr>
          <w:rFonts w:ascii="仿宋_GB2312" w:eastAsia="仿宋_GB2312" w:hAnsi="仿宋_GB2312"/>
          <w:b w:val="0"/>
          <w:sz w:val="32"/>
          <w:szCs w:val="32"/>
          <w:shd w:val="clear" w:color="FFFFFF" w:fill="FFFFFF"/>
        </w:rPr>
        <w:t>或理财产品</w:t>
      </w:r>
      <w:r>
        <w:rPr>
          <w:rFonts w:ascii="仿宋_GB2312" w:eastAsia="仿宋_GB2312" w:hAnsi="仿宋_GB2312"/>
          <w:b w:val="0"/>
          <w:sz w:val="32"/>
          <w:szCs w:val="32"/>
          <w:shd w:val="clear" w:color="FFFFFF" w:fill="FFFFFF"/>
        </w:rPr>
        <w:lastRenderedPageBreak/>
        <w:t>说明书认定的其他情形。</w:t>
      </w:r>
    </w:p>
    <w:p w:rsidR="0081436D" w:rsidRDefault="0081436D">
      <w:pPr>
        <w:widowControl w:val="0"/>
        <w:tabs>
          <w:tab w:val="left" w:pos="0"/>
        </w:tabs>
        <w:spacing w:line="590" w:lineRule="exact"/>
        <w:ind w:firstLineChars="200" w:firstLine="640"/>
        <w:jc w:val="both"/>
        <w:rPr>
          <w:rFonts w:ascii="仿宋_GB2312" w:eastAsia="仿宋_GB2312" w:hAnsi="仿宋_GB2312"/>
          <w:sz w:val="32"/>
          <w:szCs w:val="32"/>
        </w:rPr>
      </w:pPr>
      <w:bookmarkStart w:id="186" w:name="_Toc11701"/>
      <w:bookmarkStart w:id="187" w:name="_Toc5184"/>
      <w:bookmarkStart w:id="188" w:name="_Toc1507"/>
      <w:bookmarkStart w:id="189" w:name="_Toc2234"/>
      <w:bookmarkStart w:id="190" w:name="_Toc425952829"/>
      <w:bookmarkStart w:id="191" w:name="_Toc26374"/>
      <w:bookmarkStart w:id="192" w:name="_Toc27140"/>
      <w:bookmarkStart w:id="193" w:name="_Toc30944"/>
    </w:p>
    <w:p w:rsidR="0081436D" w:rsidRDefault="00BD165F">
      <w:pPr>
        <w:pStyle w:val="1"/>
        <w:tabs>
          <w:tab w:val="clear" w:pos="0"/>
          <w:tab w:val="clear" w:pos="5246"/>
        </w:tabs>
        <w:spacing w:before="0" w:line="590" w:lineRule="exact"/>
        <w:ind w:left="0"/>
        <w:jc w:val="center"/>
        <w:rPr>
          <w:rFonts w:ascii="仿宋_GB2312" w:eastAsia="仿宋_GB2312" w:hAnsi="仿宋_GB2312"/>
          <w:sz w:val="32"/>
          <w:szCs w:val="32"/>
        </w:rPr>
      </w:pPr>
      <w:bookmarkStart w:id="194" w:name="_Toc8798"/>
      <w:bookmarkStart w:id="195" w:name="_Toc13840"/>
      <w:bookmarkStart w:id="196" w:name="_Toc12396"/>
      <w:r>
        <w:rPr>
          <w:rFonts w:ascii="仿宋_GB2312" w:eastAsia="仿宋_GB2312" w:hAnsi="仿宋_GB2312"/>
          <w:sz w:val="32"/>
          <w:szCs w:val="32"/>
        </w:rPr>
        <w:t>文件档案保存和保密</w:t>
      </w:r>
      <w:bookmarkEnd w:id="186"/>
      <w:bookmarkEnd w:id="187"/>
      <w:bookmarkEnd w:id="188"/>
      <w:bookmarkEnd w:id="189"/>
      <w:bookmarkEnd w:id="190"/>
      <w:bookmarkEnd w:id="191"/>
      <w:bookmarkEnd w:id="192"/>
      <w:bookmarkEnd w:id="193"/>
      <w:bookmarkEnd w:id="194"/>
      <w:bookmarkEnd w:id="195"/>
      <w:bookmarkEnd w:id="196"/>
    </w:p>
    <w:p w:rsidR="0081436D" w:rsidRDefault="00BD165F" w:rsidP="005D01BD">
      <w:pPr>
        <w:widowControl w:val="0"/>
        <w:spacing w:line="590" w:lineRule="exact"/>
        <w:ind w:firstLineChars="200" w:firstLine="652"/>
        <w:jc w:val="both"/>
        <w:rPr>
          <w:rFonts w:ascii="仿宋_GB2312" w:eastAsia="仿宋_GB2312" w:hAnsi="仿宋_GB2312"/>
          <w:spacing w:val="6"/>
          <w:sz w:val="32"/>
          <w:szCs w:val="32"/>
        </w:rPr>
      </w:pPr>
      <w:r>
        <w:rPr>
          <w:rFonts w:ascii="仿宋_GB2312" w:eastAsia="仿宋_GB2312" w:hAnsi="仿宋_GB2312"/>
          <w:spacing w:val="6"/>
          <w:sz w:val="32"/>
          <w:szCs w:val="32"/>
        </w:rPr>
        <w:t>管理人、托管人各自完整保存有关原始凭证、记账凭证、账册、交易记录和重要协议不少于法律法规的规定年限。</w:t>
      </w:r>
    </w:p>
    <w:p w:rsidR="0081436D" w:rsidRDefault="00BD165F" w:rsidP="005D01BD">
      <w:pPr>
        <w:widowControl w:val="0"/>
        <w:spacing w:line="590" w:lineRule="exact"/>
        <w:ind w:firstLineChars="200" w:firstLine="652"/>
        <w:jc w:val="both"/>
        <w:rPr>
          <w:rFonts w:ascii="仿宋_GB2312" w:eastAsia="仿宋_GB2312" w:hAnsi="仿宋_GB2312"/>
          <w:spacing w:val="6"/>
          <w:sz w:val="32"/>
          <w:szCs w:val="32"/>
        </w:rPr>
      </w:pPr>
      <w:r>
        <w:rPr>
          <w:rFonts w:ascii="仿宋_GB2312" w:eastAsia="仿宋_GB2312" w:hAnsi="仿宋_GB2312"/>
          <w:spacing w:val="6"/>
          <w:sz w:val="32"/>
          <w:szCs w:val="32"/>
        </w:rPr>
        <w:t>管理人、托管人在此承诺：对于签订和履行本协议过程中所获得的所有关于对方业务方针和策略、托管运作明细等内容严格保密。未经双方书面同意，任何一方不得向任何第三方披露保密信息，法律法规或监管要求另有规定</w:t>
      </w:r>
      <w:r>
        <w:rPr>
          <w:rFonts w:ascii="仿宋_GB2312" w:eastAsia="仿宋_GB2312" w:hAnsi="仿宋_GB2312" w:cs="仿宋_GB2312" w:hint="eastAsia"/>
          <w:spacing w:val="6"/>
          <w:sz w:val="32"/>
          <w:szCs w:val="32"/>
        </w:rPr>
        <w:t>的、</w:t>
      </w:r>
      <w:r>
        <w:rPr>
          <w:rFonts w:ascii="仿宋_GB2312" w:eastAsia="仿宋_GB2312" w:hAnsi="仿宋_GB2312" w:cs="仿宋_GB2312" w:hint="eastAsia"/>
          <w:sz w:val="32"/>
          <w:szCs w:val="32"/>
        </w:rPr>
        <w:t>向所聘请的审计、法律等外部专业顾问提供及</w:t>
      </w:r>
      <w:r>
        <w:rPr>
          <w:rFonts w:ascii="仿宋_GB2312" w:eastAsia="仿宋_GB2312" w:hAnsi="仿宋_GB2312" w:cs="仿宋_GB2312" w:hint="eastAsia"/>
          <w:spacing w:val="6"/>
          <w:sz w:val="32"/>
          <w:szCs w:val="32"/>
        </w:rPr>
        <w:t>本协议另有约定的除外。</w:t>
      </w:r>
    </w:p>
    <w:p w:rsidR="0081436D" w:rsidRDefault="0081436D">
      <w:pPr>
        <w:pStyle w:val="210"/>
        <w:widowControl w:val="0"/>
        <w:spacing w:line="590" w:lineRule="exact"/>
        <w:ind w:firstLineChars="200" w:firstLine="640"/>
        <w:jc w:val="both"/>
        <w:outlineLvl w:val="9"/>
        <w:rPr>
          <w:sz w:val="32"/>
          <w:szCs w:val="32"/>
        </w:rPr>
      </w:pPr>
    </w:p>
    <w:p w:rsidR="0081436D" w:rsidRDefault="00BD165F">
      <w:pPr>
        <w:pStyle w:val="1"/>
        <w:tabs>
          <w:tab w:val="clear" w:pos="0"/>
          <w:tab w:val="clear" w:pos="5246"/>
        </w:tabs>
        <w:spacing w:before="0" w:line="590" w:lineRule="exact"/>
        <w:ind w:left="0"/>
        <w:jc w:val="center"/>
        <w:rPr>
          <w:rFonts w:ascii="仿宋_GB2312" w:eastAsia="仿宋_GB2312" w:hAnsi="仿宋_GB2312"/>
          <w:sz w:val="32"/>
          <w:szCs w:val="32"/>
        </w:rPr>
      </w:pPr>
      <w:bookmarkStart w:id="197" w:name="_Toc20991"/>
      <w:bookmarkStart w:id="198" w:name="_Toc10739"/>
      <w:bookmarkStart w:id="199" w:name="_Toc5845"/>
      <w:bookmarkStart w:id="200" w:name="_Toc9383"/>
      <w:bookmarkStart w:id="201" w:name="_Toc13026"/>
      <w:bookmarkStart w:id="202" w:name="_Toc28498"/>
      <w:bookmarkStart w:id="203" w:name="_Toc10094"/>
      <w:bookmarkStart w:id="204" w:name="_Toc32003"/>
      <w:bookmarkStart w:id="205" w:name="_Toc425952830"/>
      <w:bookmarkStart w:id="206" w:name="_Toc22538"/>
      <w:bookmarkStart w:id="207" w:name="_Toc3981"/>
      <w:r>
        <w:rPr>
          <w:rFonts w:ascii="仿宋_GB2312" w:eastAsia="仿宋_GB2312" w:hAnsi="仿宋_GB2312"/>
          <w:sz w:val="32"/>
          <w:szCs w:val="32"/>
        </w:rPr>
        <w:t>违约责任</w:t>
      </w:r>
      <w:bookmarkEnd w:id="197"/>
      <w:bookmarkEnd w:id="198"/>
      <w:bookmarkEnd w:id="199"/>
      <w:bookmarkEnd w:id="200"/>
      <w:bookmarkEnd w:id="201"/>
      <w:bookmarkEnd w:id="202"/>
      <w:bookmarkEnd w:id="203"/>
      <w:bookmarkEnd w:id="204"/>
      <w:bookmarkEnd w:id="205"/>
      <w:bookmarkEnd w:id="206"/>
      <w:bookmarkEnd w:id="207"/>
    </w:p>
    <w:p w:rsidR="0081436D" w:rsidRDefault="00BD165F" w:rsidP="005D01BD">
      <w:pPr>
        <w:widowControl w:val="0"/>
        <w:spacing w:line="590" w:lineRule="exact"/>
        <w:ind w:firstLineChars="200" w:firstLine="652"/>
        <w:jc w:val="both"/>
        <w:rPr>
          <w:rFonts w:ascii="仿宋_GB2312" w:eastAsia="仿宋_GB2312" w:hAnsi="仿宋_GB2312"/>
          <w:spacing w:val="6"/>
          <w:sz w:val="32"/>
          <w:szCs w:val="32"/>
        </w:rPr>
      </w:pPr>
      <w:r>
        <w:rPr>
          <w:rFonts w:ascii="仿宋_GB2312" w:eastAsia="仿宋_GB2312" w:hAnsi="仿宋_GB2312"/>
          <w:spacing w:val="6"/>
          <w:sz w:val="32"/>
          <w:szCs w:val="32"/>
        </w:rPr>
        <w:t>（一）由于协议当事人违约，造成本协议不能履行或者不能完全履行的，由违约一方承担违约责任；如当事人均违约的，由违约方分别承担各自应负的违约责任。除非法律法规另有规定，一方仅依据本协议约定的职责范围承担相应责任，而不因自身职责以外的事由与另一方对外承担连带赔偿责任。</w:t>
      </w:r>
    </w:p>
    <w:p w:rsidR="0081436D" w:rsidRDefault="00BD165F" w:rsidP="005D01BD">
      <w:pPr>
        <w:widowControl w:val="0"/>
        <w:spacing w:line="590" w:lineRule="exact"/>
        <w:ind w:firstLineChars="200" w:firstLine="652"/>
        <w:jc w:val="both"/>
        <w:rPr>
          <w:rFonts w:ascii="仿宋_GB2312" w:eastAsia="仿宋_GB2312" w:hAnsi="仿宋_GB2312"/>
          <w:spacing w:val="6"/>
          <w:sz w:val="32"/>
          <w:szCs w:val="32"/>
        </w:rPr>
      </w:pPr>
      <w:r>
        <w:rPr>
          <w:rFonts w:ascii="仿宋_GB2312" w:eastAsia="仿宋_GB2312" w:hAnsi="仿宋_GB2312"/>
          <w:spacing w:val="6"/>
          <w:sz w:val="32"/>
          <w:szCs w:val="32"/>
        </w:rPr>
        <w:t>（二）由于不可抗力或意外事故导致无法履行或无法完全履行本协议的，根据不可抗力或意外事故的影响部分</w:t>
      </w:r>
      <w:r>
        <w:rPr>
          <w:rFonts w:ascii="仿宋_GB2312" w:eastAsia="仿宋_GB2312" w:hAnsi="仿宋_GB2312"/>
          <w:spacing w:val="6"/>
          <w:sz w:val="32"/>
          <w:szCs w:val="32"/>
        </w:rPr>
        <w:lastRenderedPageBreak/>
        <w:t>或全部免除管理人、托管人的责任。</w:t>
      </w:r>
    </w:p>
    <w:p w:rsidR="0081436D" w:rsidRDefault="00BD165F" w:rsidP="005D01BD">
      <w:pPr>
        <w:widowControl w:val="0"/>
        <w:spacing w:line="590" w:lineRule="exact"/>
        <w:ind w:firstLineChars="200" w:firstLine="652"/>
        <w:jc w:val="both"/>
        <w:rPr>
          <w:rFonts w:ascii="仿宋_GB2312" w:eastAsia="仿宋_GB2312" w:hAnsi="仿宋_GB2312"/>
          <w:spacing w:val="6"/>
          <w:sz w:val="32"/>
          <w:szCs w:val="32"/>
        </w:rPr>
      </w:pPr>
      <w:r>
        <w:rPr>
          <w:rFonts w:ascii="仿宋_GB2312" w:eastAsia="仿宋_GB2312" w:hAnsi="仿宋_GB2312"/>
          <w:spacing w:val="6"/>
          <w:sz w:val="32"/>
          <w:szCs w:val="32"/>
        </w:rPr>
        <w:t>（三）当事人一方违约，非违约方在职责范围内有义务及时采取必要的措施，防止损失的扩大</w:t>
      </w:r>
      <w:r>
        <w:rPr>
          <w:rFonts w:ascii="仿宋_GB2312" w:eastAsia="仿宋_GB2312" w:hAnsi="仿宋_GB2312"/>
          <w:spacing w:val="6"/>
          <w:sz w:val="32"/>
          <w:szCs w:val="32"/>
        </w:rPr>
        <w:t>。非违约方因防止损失扩大而支出的合理费用由违约方承担。</w:t>
      </w:r>
    </w:p>
    <w:p w:rsidR="0081436D" w:rsidRDefault="00BD165F" w:rsidP="005D01BD">
      <w:pPr>
        <w:widowControl w:val="0"/>
        <w:spacing w:line="590" w:lineRule="exact"/>
        <w:ind w:firstLineChars="200" w:firstLine="652"/>
        <w:jc w:val="both"/>
        <w:rPr>
          <w:rFonts w:ascii="仿宋_GB2312" w:eastAsia="仿宋_GB2312" w:hAnsi="仿宋_GB2312"/>
          <w:spacing w:val="6"/>
          <w:sz w:val="32"/>
          <w:szCs w:val="32"/>
        </w:rPr>
      </w:pPr>
      <w:r>
        <w:rPr>
          <w:rFonts w:ascii="仿宋_GB2312" w:eastAsia="仿宋_GB2312" w:hAnsi="仿宋_GB2312"/>
          <w:spacing w:val="6"/>
          <w:sz w:val="32"/>
          <w:szCs w:val="32"/>
        </w:rPr>
        <w:t>（四）违约行为虽已发生，但本协议能够继续履行的，在最大限度地保护投资者利益的前提下，管理人和托管人应当继续履行本协议。</w:t>
      </w:r>
    </w:p>
    <w:p w:rsidR="0081436D" w:rsidRDefault="00BD165F" w:rsidP="005D01BD">
      <w:pPr>
        <w:widowControl w:val="0"/>
        <w:spacing w:line="590" w:lineRule="exact"/>
        <w:ind w:firstLineChars="200" w:firstLine="652"/>
        <w:jc w:val="both"/>
        <w:rPr>
          <w:rFonts w:ascii="仿宋_GB2312" w:eastAsia="仿宋_GB2312" w:hAnsi="仿宋_GB2312"/>
          <w:spacing w:val="6"/>
          <w:sz w:val="32"/>
          <w:szCs w:val="32"/>
        </w:rPr>
      </w:pPr>
      <w:r>
        <w:rPr>
          <w:rFonts w:ascii="仿宋_GB2312" w:eastAsia="仿宋_GB2312" w:hAnsi="仿宋_GB2312"/>
          <w:spacing w:val="6"/>
          <w:sz w:val="32"/>
          <w:szCs w:val="32"/>
        </w:rPr>
        <w:t>（五）管理人应保证其向托管人提供的有关凭证、合同等文件（含复印件）和数据的真实性、准确性、完整性及合法性。托管人不负责对其真实性进行审核。所有收到的由管理人提供的上述复印件，托管人即认为其有效，如因管理人提供的有关凭证、合同的复印件和数据有误，由此给本协议其他方或理财产品财产造成损失的，由管理人承担责任。</w:t>
      </w:r>
    </w:p>
    <w:p w:rsidR="0081436D" w:rsidRDefault="00BD165F" w:rsidP="005D01BD">
      <w:pPr>
        <w:widowControl w:val="0"/>
        <w:spacing w:line="590" w:lineRule="exact"/>
        <w:ind w:firstLineChars="200" w:firstLine="652"/>
        <w:jc w:val="both"/>
        <w:rPr>
          <w:rFonts w:ascii="仿宋_GB2312" w:eastAsia="仿宋_GB2312" w:hAnsi="仿宋_GB2312"/>
          <w:spacing w:val="6"/>
          <w:sz w:val="32"/>
          <w:szCs w:val="32"/>
        </w:rPr>
      </w:pPr>
      <w:r>
        <w:rPr>
          <w:rFonts w:ascii="仿宋_GB2312" w:eastAsia="仿宋_GB2312" w:hAnsi="仿宋_GB2312"/>
          <w:spacing w:val="6"/>
          <w:sz w:val="32"/>
          <w:szCs w:val="32"/>
        </w:rPr>
        <w:t>（六）管理人应保证资金来源和投向合法、合</w:t>
      </w:r>
      <w:proofErr w:type="gramStart"/>
      <w:r>
        <w:rPr>
          <w:rFonts w:ascii="仿宋_GB2312" w:eastAsia="仿宋_GB2312" w:hAnsi="仿宋_GB2312"/>
          <w:spacing w:val="6"/>
          <w:sz w:val="32"/>
          <w:szCs w:val="32"/>
        </w:rPr>
        <w:t>规</w:t>
      </w:r>
      <w:proofErr w:type="gramEnd"/>
      <w:r>
        <w:rPr>
          <w:rFonts w:ascii="仿宋_GB2312" w:eastAsia="仿宋_GB2312" w:hAnsi="仿宋_GB2312"/>
          <w:spacing w:val="6"/>
          <w:sz w:val="32"/>
          <w:szCs w:val="32"/>
        </w:rPr>
        <w:t>，如果托管人发现或有合理怀疑管理人或其资金、交易存在洗钱风险、恐怖融资、逃税等非法嫌疑或违反可适用的制裁项目时，托管人可以单方面中止合作，并采取相应的风险控制措施，由此导致的损失和责任由管理人承担。</w:t>
      </w:r>
    </w:p>
    <w:p w:rsidR="0081436D" w:rsidRDefault="00BD165F" w:rsidP="005D01BD">
      <w:pPr>
        <w:widowControl w:val="0"/>
        <w:spacing w:line="590" w:lineRule="exact"/>
        <w:ind w:firstLineChars="200" w:firstLine="652"/>
        <w:jc w:val="both"/>
        <w:rPr>
          <w:rFonts w:ascii="仿宋_GB2312" w:eastAsia="仿宋_GB2312" w:hAnsi="仿宋_GB2312"/>
          <w:spacing w:val="6"/>
          <w:sz w:val="32"/>
          <w:szCs w:val="32"/>
        </w:rPr>
      </w:pPr>
      <w:r>
        <w:rPr>
          <w:rFonts w:ascii="仿宋_GB2312" w:eastAsia="仿宋_GB2312" w:hAnsi="仿宋_GB2312"/>
          <w:spacing w:val="6"/>
          <w:sz w:val="32"/>
          <w:szCs w:val="32"/>
        </w:rPr>
        <w:t>（七）甲乙双方确认</w:t>
      </w:r>
      <w:r>
        <w:rPr>
          <w:rFonts w:ascii="仿宋_GB2312" w:eastAsia="仿宋_GB2312" w:hAnsi="仿宋_GB2312" w:hint="eastAsia"/>
          <w:spacing w:val="6"/>
          <w:sz w:val="32"/>
          <w:szCs w:val="32"/>
        </w:rPr>
        <w:t>，本协议项下的所有损失均指直接经济损失。</w:t>
      </w:r>
    </w:p>
    <w:p w:rsidR="0081436D" w:rsidRDefault="00BD165F" w:rsidP="005D01BD">
      <w:pPr>
        <w:widowControl w:val="0"/>
        <w:spacing w:line="590" w:lineRule="exact"/>
        <w:ind w:firstLineChars="200" w:firstLine="652"/>
        <w:jc w:val="both"/>
        <w:rPr>
          <w:rFonts w:ascii="仿宋_GB2312" w:eastAsia="仿宋_GB2312" w:hAnsi="仿宋_GB2312"/>
          <w:spacing w:val="6"/>
          <w:sz w:val="32"/>
          <w:szCs w:val="32"/>
        </w:rPr>
      </w:pPr>
      <w:r>
        <w:rPr>
          <w:rFonts w:ascii="仿宋_GB2312" w:eastAsia="仿宋_GB2312" w:hAnsi="仿宋_GB2312"/>
          <w:spacing w:val="6"/>
          <w:sz w:val="32"/>
          <w:szCs w:val="32"/>
        </w:rPr>
        <w:t xml:space="preserve">  </w:t>
      </w:r>
    </w:p>
    <w:p w:rsidR="0081436D" w:rsidRDefault="00BD165F">
      <w:pPr>
        <w:pStyle w:val="1"/>
        <w:tabs>
          <w:tab w:val="clear" w:pos="0"/>
          <w:tab w:val="clear" w:pos="5246"/>
        </w:tabs>
        <w:spacing w:before="0" w:line="590" w:lineRule="exact"/>
        <w:ind w:left="0"/>
        <w:jc w:val="center"/>
        <w:rPr>
          <w:rFonts w:ascii="仿宋_GB2312" w:eastAsia="仿宋_GB2312" w:hAnsi="仿宋_GB2312"/>
          <w:sz w:val="32"/>
          <w:szCs w:val="32"/>
        </w:rPr>
      </w:pPr>
      <w:bookmarkStart w:id="208" w:name="_Toc27278"/>
      <w:bookmarkStart w:id="209" w:name="_Toc20608"/>
      <w:bookmarkStart w:id="210" w:name="_Toc32344"/>
      <w:bookmarkStart w:id="211" w:name="_Toc21549"/>
      <w:bookmarkStart w:id="212" w:name="_Toc32178"/>
      <w:bookmarkStart w:id="213" w:name="_Toc9096"/>
      <w:bookmarkStart w:id="214" w:name="_Toc24899"/>
      <w:bookmarkStart w:id="215" w:name="_Toc18140"/>
      <w:bookmarkStart w:id="216" w:name="_Toc27067"/>
      <w:bookmarkStart w:id="217" w:name="_Toc11840"/>
      <w:bookmarkStart w:id="218" w:name="_Toc425952831"/>
      <w:r>
        <w:rPr>
          <w:rFonts w:ascii="仿宋_GB2312" w:eastAsia="仿宋_GB2312" w:hAnsi="仿宋_GB2312"/>
          <w:sz w:val="32"/>
          <w:szCs w:val="32"/>
        </w:rPr>
        <w:lastRenderedPageBreak/>
        <w:t>协议的效力</w:t>
      </w:r>
      <w:bookmarkEnd w:id="208"/>
      <w:bookmarkEnd w:id="209"/>
      <w:bookmarkEnd w:id="210"/>
      <w:bookmarkEnd w:id="211"/>
      <w:bookmarkEnd w:id="212"/>
      <w:bookmarkEnd w:id="213"/>
      <w:bookmarkEnd w:id="214"/>
      <w:bookmarkEnd w:id="215"/>
      <w:bookmarkEnd w:id="216"/>
      <w:bookmarkEnd w:id="217"/>
    </w:p>
    <w:p w:rsidR="0081436D" w:rsidRDefault="00BD165F">
      <w:pPr>
        <w:widowControl w:val="0"/>
        <w:spacing w:line="590" w:lineRule="exact"/>
        <w:ind w:firstLineChars="200" w:firstLine="640"/>
        <w:jc w:val="both"/>
        <w:rPr>
          <w:rFonts w:ascii="仿宋_GB2312" w:eastAsia="仿宋_GB2312" w:hAnsi="仿宋_GB2312" w:cs="仿宋_GB2312"/>
          <w:bCs/>
          <w:spacing w:val="6"/>
          <w:sz w:val="32"/>
          <w:szCs w:val="32"/>
        </w:rPr>
      </w:pPr>
      <w:bookmarkStart w:id="219" w:name="_Toc29708"/>
      <w:bookmarkStart w:id="220" w:name="_Toc31737"/>
      <w:r>
        <w:rPr>
          <w:rFonts w:ascii="仿宋_GB2312" w:eastAsia="仿宋_GB2312" w:hAnsi="仿宋_GB2312" w:cs="仿宋_GB2312" w:hint="eastAsia"/>
          <w:bCs/>
          <w:sz w:val="32"/>
          <w:szCs w:val="32"/>
        </w:rPr>
        <w:t>（一）</w:t>
      </w:r>
      <w:r>
        <w:rPr>
          <w:rFonts w:ascii="仿宋_GB2312" w:eastAsia="仿宋_GB2312" w:hAnsi="仿宋_GB2312" w:cs="仿宋_GB2312" w:hint="eastAsia"/>
          <w:bCs/>
          <w:spacing w:val="6"/>
          <w:sz w:val="32"/>
          <w:szCs w:val="32"/>
        </w:rPr>
        <w:t>本协议适用于有效期内管理人发行</w:t>
      </w:r>
      <w:proofErr w:type="gramStart"/>
      <w:r>
        <w:rPr>
          <w:rFonts w:ascii="仿宋_GB2312" w:eastAsia="仿宋_GB2312" w:hAnsi="仿宋_GB2312" w:cs="仿宋_GB2312" w:hint="eastAsia"/>
          <w:bCs/>
          <w:spacing w:val="6"/>
          <w:sz w:val="32"/>
          <w:szCs w:val="32"/>
        </w:rPr>
        <w:t>且</w:t>
      </w:r>
      <w:r>
        <w:rPr>
          <w:rFonts w:ascii="仿宋_GB2312" w:eastAsia="仿宋_GB2312" w:hAnsi="仿宋_GB2312" w:cs="仿宋_GB2312" w:hint="eastAsia"/>
          <w:bCs/>
          <w:sz w:val="32"/>
          <w:szCs w:val="32"/>
        </w:rPr>
        <w:t>委托</w:t>
      </w:r>
      <w:proofErr w:type="gramEnd"/>
      <w:r>
        <w:rPr>
          <w:rFonts w:ascii="仿宋_GB2312" w:eastAsia="仿宋_GB2312" w:hAnsi="仿宋_GB2312" w:cs="仿宋_GB2312" w:hint="eastAsia"/>
          <w:bCs/>
          <w:sz w:val="32"/>
          <w:szCs w:val="32"/>
        </w:rPr>
        <w:t>托管人托管</w:t>
      </w:r>
      <w:r>
        <w:rPr>
          <w:rFonts w:ascii="仿宋_GB2312" w:eastAsia="仿宋_GB2312" w:hAnsi="仿宋_GB2312" w:cs="仿宋_GB2312" w:hint="eastAsia"/>
          <w:bCs/>
          <w:spacing w:val="6"/>
          <w:sz w:val="32"/>
          <w:szCs w:val="32"/>
        </w:rPr>
        <w:t>的所有理财产品，双方不再就单一理财产品签订托管协议，管理人在单一理财产品托管前向托管人提交</w:t>
      </w:r>
      <w:r>
        <w:rPr>
          <w:rFonts w:ascii="仿宋_GB2312" w:eastAsia="仿宋_GB2312" w:hAnsi="仿宋_GB2312" w:cs="仿宋_GB2312" w:hint="eastAsia"/>
          <w:spacing w:val="6"/>
          <w:sz w:val="32"/>
          <w:szCs w:val="32"/>
        </w:rPr>
        <w:t>具体理财产品的理财产品说明书，以及其他</w:t>
      </w:r>
      <w:r>
        <w:rPr>
          <w:rFonts w:ascii="仿宋_GB2312" w:eastAsia="仿宋_GB2312" w:hAnsi="仿宋_GB2312" w:cs="仿宋_GB2312" w:hint="eastAsia"/>
          <w:bCs/>
          <w:spacing w:val="6"/>
          <w:sz w:val="32"/>
          <w:szCs w:val="32"/>
        </w:rPr>
        <w:t>相关产品说明</w:t>
      </w:r>
      <w:r>
        <w:rPr>
          <w:rFonts w:ascii="仿宋_GB2312" w:eastAsia="仿宋_GB2312" w:hAnsi="仿宋_GB2312" w:cs="仿宋_GB2312" w:hint="eastAsia"/>
          <w:bCs/>
          <w:spacing w:val="6"/>
          <w:sz w:val="32"/>
          <w:szCs w:val="32"/>
        </w:rPr>
        <w:t>资料（内容包括但不限于期限、规模、费率、投资范围等）。</w:t>
      </w:r>
      <w:bookmarkEnd w:id="218"/>
      <w:bookmarkEnd w:id="219"/>
      <w:bookmarkEnd w:id="220"/>
      <w:r>
        <w:rPr>
          <w:rFonts w:ascii="仿宋_GB2312" w:eastAsia="仿宋_GB2312" w:hAnsi="仿宋_GB2312" w:cs="仿宋_GB2312" w:hint="eastAsia"/>
          <w:bCs/>
          <w:spacing w:val="6"/>
          <w:sz w:val="32"/>
          <w:szCs w:val="32"/>
        </w:rPr>
        <w:t xml:space="preserve"> </w:t>
      </w:r>
    </w:p>
    <w:p w:rsidR="0081436D" w:rsidRDefault="00BD165F" w:rsidP="005D01BD">
      <w:pPr>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（二）本协议未经双方书面同意，不得予以修改。</w:t>
      </w:r>
    </w:p>
    <w:p w:rsidR="0081436D" w:rsidRDefault="00BD165F" w:rsidP="005D01BD">
      <w:pPr>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（三）本协议的无效或解除，不影响本协议中有关违约责任条款、争议解决条款的效力。</w:t>
      </w:r>
    </w:p>
    <w:p w:rsidR="0081436D" w:rsidRDefault="00BD165F" w:rsidP="005D01BD">
      <w:pPr>
        <w:widowControl w:val="0"/>
        <w:numPr>
          <w:ilvl w:val="0"/>
          <w:numId w:val="6"/>
        </w:numPr>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本协议自双方法定代表人或授权代表签名或盖章并加盖公章（或合同专用章）之日起生效。</w:t>
      </w:r>
      <w:r>
        <w:rPr>
          <w:rFonts w:ascii="仿宋_GB2312" w:eastAsia="仿宋_GB2312" w:hAnsi="仿宋_GB2312" w:cs="仿宋_GB2312" w:hint="eastAsia"/>
          <w:color w:val="000000"/>
          <w:sz w:val="32"/>
          <w:szCs w:val="32"/>
        </w:rPr>
        <w:t>本协议</w:t>
      </w:r>
      <w:r>
        <w:rPr>
          <w:rFonts w:ascii="仿宋_GB2312" w:eastAsia="仿宋_GB2312" w:hAnsi="仿宋_GB2312" w:cs="仿宋_GB2312" w:hint="eastAsia"/>
          <w:spacing w:val="6"/>
          <w:sz w:val="32"/>
          <w:szCs w:val="32"/>
        </w:rPr>
        <w:t>长期有效，经双方协商一致可以终止。</w:t>
      </w:r>
    </w:p>
    <w:p w:rsidR="0081436D" w:rsidRDefault="00BD165F" w:rsidP="005D01BD">
      <w:pPr>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（五）如本协议终止时，尚有部分理财产品未到期，则按以下约定处理：</w:t>
      </w:r>
    </w:p>
    <w:p w:rsidR="0081436D" w:rsidRDefault="00BD165F" w:rsidP="005D01BD">
      <w:pPr>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1.</w:t>
      </w:r>
      <w:r>
        <w:rPr>
          <w:rFonts w:ascii="仿宋_GB2312" w:eastAsia="仿宋_GB2312" w:hAnsi="仿宋_GB2312" w:cs="仿宋_GB2312" w:hint="eastAsia"/>
          <w:spacing w:val="6"/>
          <w:sz w:val="32"/>
          <w:szCs w:val="32"/>
        </w:rPr>
        <w:t>托管人有权按照本协议约定对上述理财产品继续履行托管职责，并享有相关权利，直至产品终止。</w:t>
      </w:r>
    </w:p>
    <w:p w:rsidR="0081436D" w:rsidRDefault="00BD165F" w:rsidP="005D01BD">
      <w:pPr>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2.</w:t>
      </w:r>
      <w:r>
        <w:rPr>
          <w:rFonts w:ascii="仿宋_GB2312" w:eastAsia="仿宋_GB2312" w:hAnsi="仿宋_GB2312" w:cs="仿宋_GB2312" w:hint="eastAsia"/>
          <w:spacing w:val="6"/>
          <w:sz w:val="32"/>
          <w:szCs w:val="32"/>
        </w:rPr>
        <w:t>如托管人丧失托管资质或拒绝继续托管相关产品，管理人有权在本协议终止之日起</w:t>
      </w:r>
      <w:r>
        <w:rPr>
          <w:rFonts w:ascii="仿宋_GB2312" w:eastAsia="仿宋_GB2312" w:hAnsi="仿宋_GB2312" w:cs="仿宋_GB2312" w:hint="eastAsia"/>
          <w:spacing w:val="6"/>
          <w:sz w:val="32"/>
          <w:szCs w:val="32"/>
        </w:rPr>
        <w:t>15</w:t>
      </w:r>
      <w:r>
        <w:rPr>
          <w:rFonts w:ascii="仿宋_GB2312" w:eastAsia="仿宋_GB2312" w:hAnsi="仿宋_GB2312" w:cs="仿宋_GB2312" w:hint="eastAsia"/>
          <w:spacing w:val="6"/>
          <w:sz w:val="32"/>
          <w:szCs w:val="32"/>
        </w:rPr>
        <w:t>日内变更托管人，在办理托管业务的移交手续前，托管人按照本协议内容继续履行托管责任，享有本协议项下权利。</w:t>
      </w:r>
    </w:p>
    <w:p w:rsidR="0081436D" w:rsidRDefault="00BD165F" w:rsidP="005D01BD">
      <w:pPr>
        <w:widowControl w:val="0"/>
        <w:spacing w:line="590" w:lineRule="exact"/>
        <w:ind w:firstLineChars="200" w:firstLine="652"/>
        <w:jc w:val="both"/>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（六）本协议一式四份，双方各执两份，每份具有同等法律效力。</w:t>
      </w:r>
    </w:p>
    <w:p w:rsidR="0081436D" w:rsidRDefault="0081436D" w:rsidP="005D01BD">
      <w:pPr>
        <w:widowControl w:val="0"/>
        <w:spacing w:line="590" w:lineRule="exact"/>
        <w:ind w:firstLineChars="200" w:firstLine="652"/>
        <w:jc w:val="both"/>
        <w:rPr>
          <w:rFonts w:ascii="仿宋_GB2312" w:eastAsia="仿宋_GB2312" w:hAnsi="仿宋_GB2312" w:cs="仿宋_GB2312"/>
          <w:spacing w:val="6"/>
          <w:sz w:val="32"/>
          <w:szCs w:val="32"/>
        </w:rPr>
      </w:pPr>
    </w:p>
    <w:p w:rsidR="0081436D" w:rsidRDefault="00BD165F">
      <w:pPr>
        <w:pStyle w:val="1"/>
        <w:tabs>
          <w:tab w:val="clear" w:pos="0"/>
          <w:tab w:val="clear" w:pos="5246"/>
        </w:tabs>
        <w:spacing w:before="0" w:line="590" w:lineRule="exact"/>
        <w:ind w:left="0"/>
        <w:jc w:val="center"/>
        <w:rPr>
          <w:rFonts w:ascii="仿宋_GB2312" w:eastAsia="仿宋_GB2312" w:hAnsi="仿宋_GB2312"/>
          <w:sz w:val="32"/>
          <w:szCs w:val="32"/>
        </w:rPr>
      </w:pPr>
      <w:bookmarkStart w:id="221" w:name="_Toc11147"/>
      <w:bookmarkStart w:id="222" w:name="_Toc9489"/>
      <w:bookmarkStart w:id="223" w:name="_Toc8575"/>
      <w:bookmarkStart w:id="224" w:name="_Toc18088"/>
      <w:bookmarkStart w:id="225" w:name="_Toc24744"/>
      <w:bookmarkStart w:id="226" w:name="_Toc31222"/>
      <w:bookmarkStart w:id="227" w:name="_Toc27039"/>
      <w:bookmarkStart w:id="228" w:name="_Toc22734"/>
      <w:bookmarkStart w:id="229" w:name="_Toc7926"/>
      <w:bookmarkStart w:id="230" w:name="_Toc18133"/>
      <w:r>
        <w:rPr>
          <w:rFonts w:ascii="仿宋_GB2312" w:eastAsia="仿宋_GB2312" w:hAnsi="仿宋_GB2312"/>
          <w:sz w:val="32"/>
          <w:szCs w:val="32"/>
        </w:rPr>
        <w:lastRenderedPageBreak/>
        <w:t>争议的解决方式</w:t>
      </w:r>
      <w:bookmarkEnd w:id="221"/>
      <w:bookmarkEnd w:id="222"/>
      <w:bookmarkEnd w:id="223"/>
      <w:bookmarkEnd w:id="224"/>
      <w:bookmarkEnd w:id="225"/>
      <w:bookmarkEnd w:id="226"/>
      <w:bookmarkEnd w:id="227"/>
      <w:bookmarkEnd w:id="228"/>
      <w:bookmarkEnd w:id="229"/>
      <w:bookmarkEnd w:id="230"/>
    </w:p>
    <w:p w:rsidR="0081436D" w:rsidRDefault="00BD165F" w:rsidP="005D01BD">
      <w:pPr>
        <w:widowControl w:val="0"/>
        <w:spacing w:line="590" w:lineRule="exact"/>
        <w:ind w:firstLineChars="200" w:firstLine="652"/>
        <w:jc w:val="both"/>
        <w:rPr>
          <w:rFonts w:ascii="仿宋_GB2312" w:eastAsia="仿宋_GB2312" w:hAnsi="仿宋_GB2312"/>
          <w:spacing w:val="6"/>
          <w:sz w:val="32"/>
          <w:szCs w:val="32"/>
        </w:rPr>
      </w:pPr>
      <w:r>
        <w:rPr>
          <w:rFonts w:ascii="仿宋_GB2312" w:eastAsia="仿宋_GB2312" w:hAnsi="仿宋_GB2312"/>
          <w:spacing w:val="6"/>
          <w:sz w:val="32"/>
          <w:szCs w:val="32"/>
        </w:rPr>
        <w:t>相关各方当事人同意，因本协议而产生的或与本协议有关的一切争议，除经友好协商可以解决的，应提交</w:t>
      </w:r>
      <w:r>
        <w:rPr>
          <w:rFonts w:ascii="仿宋_GB2312" w:eastAsia="仿宋_GB2312" w:hAnsi="仿宋_GB2312" w:hint="eastAsia"/>
          <w:spacing w:val="6"/>
          <w:sz w:val="32"/>
          <w:szCs w:val="32"/>
        </w:rPr>
        <w:t>管理人</w:t>
      </w:r>
      <w:r>
        <w:rPr>
          <w:rFonts w:ascii="仿宋_GB2312" w:eastAsia="仿宋_GB2312" w:hAnsi="仿宋_GB2312"/>
          <w:spacing w:val="6"/>
          <w:sz w:val="32"/>
          <w:szCs w:val="32"/>
        </w:rPr>
        <w:t>住所地有管辖权人民法院诉讼解决。诉讼费由败诉方承担。</w:t>
      </w:r>
    </w:p>
    <w:p w:rsidR="0081436D" w:rsidRDefault="00BD165F" w:rsidP="005D01BD">
      <w:pPr>
        <w:widowControl w:val="0"/>
        <w:spacing w:line="590" w:lineRule="exact"/>
        <w:ind w:firstLineChars="200" w:firstLine="652"/>
        <w:jc w:val="both"/>
        <w:rPr>
          <w:rFonts w:ascii="仿宋_GB2312" w:eastAsia="仿宋_GB2312" w:hAnsi="仿宋_GB2312"/>
          <w:spacing w:val="6"/>
          <w:sz w:val="32"/>
          <w:szCs w:val="32"/>
        </w:rPr>
      </w:pPr>
      <w:r>
        <w:rPr>
          <w:rFonts w:ascii="仿宋_GB2312" w:eastAsia="仿宋_GB2312" w:hAnsi="仿宋_GB2312"/>
          <w:spacing w:val="6"/>
          <w:sz w:val="32"/>
          <w:szCs w:val="32"/>
        </w:rPr>
        <w:t>争议处理期间，相关各方当事人应恪守管理人和托管人职责，继续忠实、勤勉、尽责地履行本协议规定的义务，</w:t>
      </w:r>
      <w:r>
        <w:rPr>
          <w:rFonts w:ascii="仿宋_GB2312" w:eastAsia="仿宋_GB2312" w:hAnsi="仿宋_GB2312"/>
          <w:spacing w:val="6"/>
          <w:sz w:val="32"/>
          <w:szCs w:val="32"/>
        </w:rPr>
        <w:t>维护投资者的合法权益。</w:t>
      </w:r>
    </w:p>
    <w:p w:rsidR="0081436D" w:rsidRDefault="00BD165F" w:rsidP="005D01BD">
      <w:pPr>
        <w:widowControl w:val="0"/>
        <w:spacing w:line="590" w:lineRule="exact"/>
        <w:ind w:firstLineChars="200" w:firstLine="652"/>
        <w:jc w:val="both"/>
        <w:rPr>
          <w:rFonts w:ascii="仿宋_GB2312" w:eastAsia="仿宋_GB2312" w:hAnsi="仿宋_GB2312"/>
          <w:spacing w:val="6"/>
          <w:sz w:val="32"/>
          <w:szCs w:val="32"/>
        </w:rPr>
      </w:pPr>
      <w:r>
        <w:rPr>
          <w:rFonts w:ascii="仿宋_GB2312" w:eastAsia="仿宋_GB2312" w:hAnsi="仿宋_GB2312"/>
          <w:spacing w:val="6"/>
          <w:sz w:val="32"/>
          <w:szCs w:val="32"/>
        </w:rPr>
        <w:t>本协议受中国法律管辖。</w:t>
      </w:r>
    </w:p>
    <w:p w:rsidR="0081436D" w:rsidRDefault="00BD165F" w:rsidP="005D01BD">
      <w:pPr>
        <w:widowControl w:val="0"/>
        <w:spacing w:line="590" w:lineRule="exact"/>
        <w:ind w:firstLineChars="200" w:firstLine="652"/>
        <w:jc w:val="both"/>
        <w:rPr>
          <w:rFonts w:ascii="仿宋_GB2312" w:eastAsia="仿宋_GB2312" w:hAnsi="仿宋_GB2312"/>
          <w:spacing w:val="6"/>
          <w:sz w:val="32"/>
          <w:szCs w:val="32"/>
        </w:rPr>
      </w:pPr>
      <w:r>
        <w:rPr>
          <w:rFonts w:ascii="仿宋_GB2312" w:eastAsia="仿宋_GB2312" w:hAnsi="仿宋_GB2312"/>
          <w:spacing w:val="6"/>
          <w:sz w:val="32"/>
          <w:szCs w:val="32"/>
        </w:rPr>
        <w:t>（以下无正文）</w:t>
      </w:r>
    </w:p>
    <w:p w:rsidR="0081436D" w:rsidRDefault="0081436D" w:rsidP="005D01BD">
      <w:pPr>
        <w:spacing w:line="590" w:lineRule="exact"/>
        <w:ind w:firstLineChars="200" w:firstLine="652"/>
        <w:jc w:val="both"/>
        <w:rPr>
          <w:rFonts w:ascii="仿宋_GB2312" w:eastAsia="仿宋_GB2312" w:hAnsi="仿宋_GB2312"/>
          <w:spacing w:val="6"/>
          <w:sz w:val="32"/>
          <w:szCs w:val="32"/>
        </w:rPr>
      </w:pPr>
    </w:p>
    <w:p w:rsidR="0081436D" w:rsidRDefault="0081436D" w:rsidP="005D01BD">
      <w:pPr>
        <w:spacing w:line="590" w:lineRule="exact"/>
        <w:ind w:firstLineChars="200" w:firstLine="652"/>
        <w:jc w:val="both"/>
        <w:rPr>
          <w:rFonts w:ascii="仿宋_GB2312" w:eastAsia="仿宋_GB2312" w:hAnsi="仿宋_GB2312"/>
          <w:spacing w:val="6"/>
          <w:sz w:val="32"/>
          <w:szCs w:val="32"/>
        </w:rPr>
        <w:sectPr w:rsidR="0081436D">
          <w:pgSz w:w="11906" w:h="16838"/>
          <w:pgMar w:top="1440" w:right="1800" w:bottom="1440" w:left="1800" w:header="851" w:footer="992" w:gutter="0"/>
          <w:cols w:space="1701"/>
          <w:docGrid w:type="lines" w:linePitch="312"/>
        </w:sectPr>
      </w:pPr>
    </w:p>
    <w:p w:rsidR="0081436D" w:rsidRDefault="00BD165F">
      <w:pPr>
        <w:pBdr>
          <w:top w:val="none" w:sz="0" w:space="0" w:color="000000"/>
          <w:left w:val="none" w:sz="0" w:space="0" w:color="000000"/>
          <w:bottom w:val="none" w:sz="0" w:space="0" w:color="000000"/>
          <w:right w:val="none" w:sz="0" w:space="0" w:color="000000"/>
        </w:pBdr>
        <w:spacing w:line="590" w:lineRule="exact"/>
        <w:jc w:val="both"/>
        <w:rPr>
          <w:rFonts w:ascii="仿宋_GB2312" w:eastAsia="仿宋_GB2312" w:hAnsi="仿宋_GB2312"/>
          <w:b/>
          <w:color w:val="000000"/>
          <w:sz w:val="32"/>
          <w:szCs w:val="32"/>
        </w:rPr>
      </w:pPr>
      <w:bookmarkStart w:id="231" w:name="_Toc18392"/>
      <w:bookmarkStart w:id="232" w:name="_Toc28250"/>
      <w:bookmarkStart w:id="233" w:name="_Toc31344"/>
      <w:bookmarkStart w:id="234" w:name="_Toc31814"/>
      <w:bookmarkStart w:id="235" w:name="_Toc17001"/>
      <w:bookmarkStart w:id="236" w:name="_Toc7665"/>
      <w:bookmarkStart w:id="237" w:name="_Toc19540"/>
      <w:r>
        <w:rPr>
          <w:rFonts w:ascii="仿宋_GB2312" w:eastAsia="仿宋_GB2312" w:hAnsi="仿宋_GB2312"/>
          <w:b/>
          <w:color w:val="000000"/>
          <w:sz w:val="32"/>
          <w:szCs w:val="32"/>
        </w:rPr>
        <w:lastRenderedPageBreak/>
        <w:t>（本页为《光大理财理财产品托管协议》签署页，以下无正文）</w:t>
      </w:r>
      <w:bookmarkEnd w:id="231"/>
      <w:bookmarkEnd w:id="232"/>
      <w:bookmarkEnd w:id="233"/>
      <w:bookmarkEnd w:id="234"/>
      <w:bookmarkEnd w:id="235"/>
    </w:p>
    <w:p w:rsidR="0081436D" w:rsidRDefault="0081436D">
      <w:pPr>
        <w:pStyle w:val="18"/>
        <w:spacing w:line="580" w:lineRule="exact"/>
        <w:ind w:firstLine="1285"/>
        <w:rPr>
          <w:rFonts w:ascii="仿宋_GB2312" w:eastAsia="仿宋_GB2312" w:hAnsi="仿宋_GB2312"/>
          <w:b/>
          <w:color w:val="000000"/>
          <w:sz w:val="32"/>
          <w:szCs w:val="32"/>
        </w:rPr>
      </w:pPr>
    </w:p>
    <w:p w:rsidR="0081436D" w:rsidRDefault="0081436D">
      <w:pPr>
        <w:pStyle w:val="18"/>
        <w:spacing w:line="580" w:lineRule="exact"/>
        <w:ind w:firstLine="1285"/>
        <w:outlineLvl w:val="0"/>
        <w:rPr>
          <w:rFonts w:ascii="仿宋_GB2312" w:eastAsia="仿宋_GB2312" w:hAnsi="仿宋_GB2312"/>
          <w:b/>
          <w:color w:val="000000"/>
          <w:sz w:val="32"/>
          <w:szCs w:val="32"/>
        </w:rPr>
      </w:pPr>
      <w:bookmarkStart w:id="238" w:name="_Toc30917"/>
    </w:p>
    <w:p w:rsidR="0081436D" w:rsidRDefault="0081436D">
      <w:pPr>
        <w:pStyle w:val="18"/>
        <w:spacing w:line="580" w:lineRule="exact"/>
        <w:ind w:firstLine="1285"/>
        <w:outlineLvl w:val="0"/>
        <w:rPr>
          <w:rFonts w:ascii="仿宋_GB2312" w:eastAsia="仿宋_GB2312" w:hAnsi="仿宋_GB2312"/>
          <w:b/>
          <w:color w:val="000000"/>
          <w:sz w:val="32"/>
          <w:szCs w:val="32"/>
        </w:rPr>
      </w:pPr>
    </w:p>
    <w:p w:rsidR="0081436D" w:rsidRDefault="00BD165F">
      <w:pPr>
        <w:pStyle w:val="18"/>
        <w:spacing w:line="580" w:lineRule="exact"/>
        <w:outlineLvl w:val="0"/>
        <w:rPr>
          <w:rFonts w:ascii="仿宋_GB2312" w:eastAsia="仿宋_GB2312" w:hAnsi="仿宋_GB2312"/>
          <w:b/>
          <w:color w:val="000000"/>
          <w:sz w:val="32"/>
          <w:szCs w:val="32"/>
        </w:rPr>
      </w:pPr>
      <w:bookmarkStart w:id="239" w:name="_Toc28684"/>
      <w:bookmarkStart w:id="240" w:name="_Toc21387"/>
      <w:bookmarkStart w:id="241" w:name="_Toc19132"/>
      <w:bookmarkStart w:id="242" w:name="_Toc723"/>
      <w:bookmarkStart w:id="243" w:name="_Toc20527"/>
      <w:bookmarkStart w:id="244" w:name="_Toc5260"/>
      <w:bookmarkStart w:id="245" w:name="_Toc22020"/>
      <w:bookmarkStart w:id="246" w:name="_Toc25655"/>
      <w:r>
        <w:rPr>
          <w:rFonts w:ascii="仿宋_GB2312" w:eastAsia="仿宋_GB2312" w:hAnsi="仿宋_GB2312"/>
          <w:b/>
          <w:color w:val="000000"/>
          <w:sz w:val="32"/>
          <w:szCs w:val="32"/>
        </w:rPr>
        <w:t>管理人（公章）：</w:t>
      </w:r>
      <w:bookmarkEnd w:id="238"/>
      <w:bookmarkEnd w:id="239"/>
      <w:bookmarkEnd w:id="240"/>
      <w:bookmarkEnd w:id="241"/>
      <w:bookmarkEnd w:id="242"/>
      <w:bookmarkEnd w:id="243"/>
      <w:bookmarkEnd w:id="244"/>
      <w:r>
        <w:rPr>
          <w:rFonts w:ascii="仿宋_GB2312" w:eastAsia="仿宋_GB2312" w:hAnsi="仿宋_GB2312"/>
          <w:bCs/>
          <w:color w:val="000000"/>
          <w:sz w:val="32"/>
          <w:szCs w:val="32"/>
        </w:rPr>
        <w:t>光大理财有限责任公司</w:t>
      </w:r>
      <w:bookmarkEnd w:id="245"/>
      <w:bookmarkEnd w:id="246"/>
    </w:p>
    <w:p w:rsidR="0081436D" w:rsidRDefault="0081436D">
      <w:pPr>
        <w:pStyle w:val="18"/>
        <w:spacing w:line="580" w:lineRule="exact"/>
        <w:ind w:firstLine="643"/>
        <w:rPr>
          <w:rFonts w:ascii="仿宋_GB2312" w:eastAsia="仿宋_GB2312" w:hAnsi="仿宋_GB2312"/>
          <w:b/>
          <w:color w:val="000000"/>
          <w:sz w:val="32"/>
          <w:szCs w:val="32"/>
        </w:rPr>
      </w:pPr>
    </w:p>
    <w:p w:rsidR="0081436D" w:rsidRDefault="0081436D">
      <w:pPr>
        <w:pStyle w:val="18"/>
        <w:spacing w:line="580" w:lineRule="exact"/>
        <w:ind w:firstLine="1285"/>
        <w:outlineLvl w:val="0"/>
        <w:rPr>
          <w:rFonts w:ascii="仿宋_GB2312" w:eastAsia="仿宋_GB2312" w:hAnsi="仿宋_GB2312"/>
          <w:b/>
          <w:color w:val="000000"/>
          <w:sz w:val="32"/>
          <w:szCs w:val="32"/>
        </w:rPr>
      </w:pPr>
      <w:bookmarkStart w:id="247" w:name="_Toc5449"/>
    </w:p>
    <w:p w:rsidR="0081436D" w:rsidRDefault="00BD165F">
      <w:pPr>
        <w:pStyle w:val="18"/>
        <w:spacing w:line="580" w:lineRule="exact"/>
        <w:outlineLvl w:val="0"/>
        <w:rPr>
          <w:rFonts w:ascii="仿宋_GB2312" w:eastAsia="仿宋_GB2312" w:hAnsi="仿宋_GB2312"/>
          <w:b/>
          <w:color w:val="000000"/>
          <w:sz w:val="32"/>
          <w:szCs w:val="32"/>
        </w:rPr>
      </w:pPr>
      <w:bookmarkStart w:id="248" w:name="_Toc3293"/>
      <w:bookmarkStart w:id="249" w:name="_Toc12069"/>
      <w:bookmarkStart w:id="250" w:name="_Toc8178"/>
      <w:bookmarkStart w:id="251" w:name="_Toc17384"/>
      <w:bookmarkStart w:id="252" w:name="_Toc23259"/>
      <w:bookmarkStart w:id="253" w:name="_Toc10191"/>
      <w:bookmarkStart w:id="254" w:name="_Toc23924"/>
      <w:bookmarkStart w:id="255" w:name="_Toc18206"/>
      <w:r>
        <w:rPr>
          <w:rFonts w:ascii="仿宋_GB2312" w:eastAsia="仿宋_GB2312" w:hAnsi="仿宋_GB2312"/>
          <w:b/>
          <w:color w:val="000000"/>
          <w:sz w:val="32"/>
          <w:szCs w:val="32"/>
        </w:rPr>
        <w:t>法定代表人（或授权代表人）：</w:t>
      </w:r>
      <w:bookmarkEnd w:id="247"/>
      <w:bookmarkEnd w:id="248"/>
      <w:bookmarkEnd w:id="249"/>
      <w:bookmarkEnd w:id="250"/>
      <w:bookmarkEnd w:id="251"/>
      <w:bookmarkEnd w:id="252"/>
      <w:bookmarkEnd w:id="253"/>
      <w:bookmarkEnd w:id="254"/>
      <w:bookmarkEnd w:id="255"/>
    </w:p>
    <w:p w:rsidR="0081436D" w:rsidRDefault="0081436D">
      <w:pPr>
        <w:pStyle w:val="18"/>
        <w:spacing w:line="580" w:lineRule="exact"/>
        <w:ind w:firstLine="643"/>
        <w:rPr>
          <w:rFonts w:ascii="仿宋_GB2312" w:eastAsia="仿宋_GB2312" w:hAnsi="仿宋_GB2312"/>
          <w:b/>
          <w:color w:val="000000"/>
          <w:sz w:val="32"/>
          <w:szCs w:val="32"/>
        </w:rPr>
      </w:pPr>
    </w:p>
    <w:p w:rsidR="0081436D" w:rsidRDefault="00BD165F">
      <w:pPr>
        <w:pStyle w:val="18"/>
        <w:spacing w:line="580" w:lineRule="exact"/>
        <w:ind w:firstLineChars="200" w:firstLine="643"/>
        <w:outlineLvl w:val="0"/>
        <w:rPr>
          <w:rFonts w:ascii="仿宋_GB2312" w:eastAsia="仿宋_GB2312" w:hAnsi="仿宋_GB2312"/>
          <w:b/>
          <w:color w:val="000000"/>
          <w:sz w:val="32"/>
          <w:szCs w:val="32"/>
        </w:rPr>
      </w:pPr>
      <w:bookmarkStart w:id="256" w:name="_Toc25922"/>
      <w:bookmarkStart w:id="257" w:name="_Toc22625"/>
      <w:bookmarkStart w:id="258" w:name="_Toc6612"/>
      <w:bookmarkStart w:id="259" w:name="_Toc22325"/>
      <w:bookmarkStart w:id="260" w:name="_Toc16415"/>
      <w:bookmarkStart w:id="261" w:name="_Toc20247"/>
      <w:bookmarkStart w:id="262" w:name="_Toc16752"/>
      <w:bookmarkStart w:id="263" w:name="_Toc26613"/>
      <w:bookmarkStart w:id="264" w:name="_Toc23541"/>
      <w:r>
        <w:rPr>
          <w:rFonts w:ascii="仿宋_GB2312" w:eastAsia="仿宋_GB2312" w:hAnsi="仿宋_GB2312"/>
          <w:b/>
          <w:color w:val="000000"/>
          <w:sz w:val="32"/>
          <w:szCs w:val="32"/>
        </w:rPr>
        <w:t>年</w:t>
      </w:r>
      <w:r>
        <w:rPr>
          <w:rFonts w:ascii="仿宋_GB2312" w:eastAsia="仿宋_GB2312" w:hAnsi="仿宋_GB2312"/>
          <w:b/>
          <w:color w:val="000000"/>
          <w:sz w:val="32"/>
          <w:szCs w:val="32"/>
        </w:rPr>
        <w:t xml:space="preserve">    </w:t>
      </w:r>
      <w:r>
        <w:rPr>
          <w:rFonts w:ascii="仿宋_GB2312" w:eastAsia="仿宋_GB2312" w:hAnsi="仿宋_GB2312"/>
          <w:b/>
          <w:color w:val="000000"/>
          <w:sz w:val="32"/>
          <w:szCs w:val="32"/>
        </w:rPr>
        <w:t>月</w:t>
      </w:r>
      <w:r>
        <w:rPr>
          <w:rFonts w:ascii="仿宋_GB2312" w:eastAsia="仿宋_GB2312" w:hAnsi="仿宋_GB2312"/>
          <w:b/>
          <w:color w:val="000000"/>
          <w:sz w:val="32"/>
          <w:szCs w:val="32"/>
        </w:rPr>
        <w:t xml:space="preserve">    </w:t>
      </w:r>
      <w:r>
        <w:rPr>
          <w:rFonts w:ascii="仿宋_GB2312" w:eastAsia="仿宋_GB2312" w:hAnsi="仿宋_GB2312"/>
          <w:b/>
          <w:color w:val="000000"/>
          <w:sz w:val="32"/>
          <w:szCs w:val="32"/>
        </w:rPr>
        <w:t>日</w:t>
      </w:r>
      <w:bookmarkEnd w:id="256"/>
      <w:bookmarkEnd w:id="257"/>
      <w:bookmarkEnd w:id="258"/>
      <w:bookmarkEnd w:id="259"/>
      <w:bookmarkEnd w:id="260"/>
      <w:bookmarkEnd w:id="261"/>
      <w:bookmarkEnd w:id="262"/>
      <w:bookmarkEnd w:id="263"/>
      <w:bookmarkEnd w:id="264"/>
    </w:p>
    <w:p w:rsidR="0081436D" w:rsidRDefault="0081436D">
      <w:pPr>
        <w:pStyle w:val="18"/>
        <w:spacing w:line="580" w:lineRule="exact"/>
        <w:ind w:firstLine="643"/>
        <w:rPr>
          <w:rFonts w:ascii="仿宋_GB2312" w:eastAsia="仿宋_GB2312" w:hAnsi="仿宋_GB2312"/>
          <w:b/>
          <w:color w:val="000000"/>
          <w:sz w:val="32"/>
          <w:szCs w:val="32"/>
        </w:rPr>
      </w:pPr>
    </w:p>
    <w:p w:rsidR="0081436D" w:rsidRDefault="0081436D">
      <w:pPr>
        <w:pStyle w:val="18"/>
        <w:spacing w:line="580" w:lineRule="exact"/>
        <w:ind w:firstLine="643"/>
        <w:rPr>
          <w:rFonts w:ascii="仿宋_GB2312" w:eastAsia="仿宋_GB2312" w:hAnsi="仿宋_GB2312"/>
          <w:b/>
          <w:color w:val="000000"/>
          <w:sz w:val="32"/>
          <w:szCs w:val="32"/>
        </w:rPr>
      </w:pPr>
    </w:p>
    <w:p w:rsidR="0081436D" w:rsidRDefault="0081436D">
      <w:pPr>
        <w:pStyle w:val="18"/>
        <w:spacing w:line="580" w:lineRule="exact"/>
        <w:ind w:firstLine="643"/>
        <w:rPr>
          <w:rFonts w:ascii="仿宋_GB2312" w:eastAsia="仿宋_GB2312" w:hAnsi="仿宋_GB2312"/>
          <w:b/>
          <w:color w:val="000000"/>
          <w:sz w:val="32"/>
          <w:szCs w:val="32"/>
        </w:rPr>
      </w:pPr>
    </w:p>
    <w:p w:rsidR="0081436D" w:rsidRDefault="00BD165F">
      <w:pPr>
        <w:pStyle w:val="18"/>
        <w:spacing w:line="580" w:lineRule="exact"/>
        <w:outlineLvl w:val="0"/>
        <w:rPr>
          <w:rFonts w:ascii="仿宋_GB2312" w:eastAsia="仿宋_GB2312" w:hAnsi="仿宋_GB2312"/>
          <w:b/>
          <w:color w:val="000000"/>
          <w:sz w:val="32"/>
          <w:szCs w:val="32"/>
        </w:rPr>
      </w:pPr>
      <w:bookmarkStart w:id="265" w:name="_Toc5722"/>
      <w:bookmarkStart w:id="266" w:name="_Toc6402"/>
      <w:bookmarkStart w:id="267" w:name="_Toc10666"/>
      <w:bookmarkStart w:id="268" w:name="_Toc21050"/>
      <w:bookmarkStart w:id="269" w:name="_Toc29573"/>
      <w:bookmarkStart w:id="270" w:name="_Toc16667"/>
      <w:bookmarkStart w:id="271" w:name="_Toc19405"/>
      <w:bookmarkStart w:id="272" w:name="_Toc26913"/>
      <w:bookmarkStart w:id="273" w:name="_Toc22716"/>
      <w:r>
        <w:rPr>
          <w:rFonts w:ascii="仿宋_GB2312" w:eastAsia="仿宋_GB2312" w:hAnsi="仿宋_GB2312"/>
          <w:b/>
          <w:color w:val="000000"/>
          <w:sz w:val="32"/>
          <w:szCs w:val="32"/>
        </w:rPr>
        <w:t>托管人（公章</w:t>
      </w:r>
      <w:r>
        <w:rPr>
          <w:rFonts w:ascii="仿宋_GB2312" w:eastAsia="仿宋_GB2312" w:hAnsi="仿宋_GB2312" w:hint="eastAsia"/>
          <w:b/>
          <w:spacing w:val="6"/>
          <w:sz w:val="32"/>
          <w:szCs w:val="32"/>
        </w:rPr>
        <w:t>或合同专用章</w:t>
      </w:r>
      <w:r>
        <w:rPr>
          <w:rFonts w:ascii="仿宋_GB2312" w:eastAsia="仿宋_GB2312" w:hAnsi="仿宋_GB2312"/>
          <w:b/>
          <w:color w:val="000000"/>
          <w:sz w:val="32"/>
          <w:szCs w:val="32"/>
        </w:rPr>
        <w:t>）：</w:t>
      </w:r>
      <w:bookmarkEnd w:id="265"/>
      <w:bookmarkEnd w:id="266"/>
      <w:bookmarkEnd w:id="267"/>
      <w:bookmarkEnd w:id="268"/>
      <w:bookmarkEnd w:id="269"/>
      <w:bookmarkEnd w:id="270"/>
      <w:bookmarkEnd w:id="271"/>
      <w:bookmarkEnd w:id="272"/>
      <w:r>
        <w:rPr>
          <w:rFonts w:ascii="仿宋_GB2312" w:eastAsia="仿宋_GB2312" w:hAnsi="仿宋_GB2312" w:hint="eastAsia"/>
          <w:bCs/>
          <w:color w:val="000000"/>
          <w:sz w:val="32"/>
          <w:szCs w:val="32"/>
        </w:rPr>
        <w:t>中国建设银行股份有限公司北京市分行</w:t>
      </w:r>
      <w:bookmarkEnd w:id="273"/>
    </w:p>
    <w:p w:rsidR="0081436D" w:rsidRDefault="0081436D">
      <w:pPr>
        <w:pStyle w:val="18"/>
        <w:spacing w:line="580" w:lineRule="exact"/>
        <w:ind w:firstLine="643"/>
        <w:rPr>
          <w:rFonts w:ascii="仿宋_GB2312" w:eastAsia="仿宋_GB2312" w:hAnsi="仿宋_GB2312"/>
          <w:b/>
          <w:color w:val="000000"/>
          <w:sz w:val="32"/>
          <w:szCs w:val="32"/>
        </w:rPr>
      </w:pPr>
    </w:p>
    <w:p w:rsidR="0081436D" w:rsidRDefault="0081436D">
      <w:pPr>
        <w:pStyle w:val="18"/>
        <w:spacing w:line="580" w:lineRule="exact"/>
        <w:ind w:firstLine="643"/>
        <w:rPr>
          <w:rFonts w:ascii="仿宋_GB2312" w:eastAsia="仿宋_GB2312" w:hAnsi="仿宋_GB2312"/>
          <w:b/>
          <w:color w:val="000000"/>
          <w:sz w:val="32"/>
          <w:szCs w:val="32"/>
        </w:rPr>
      </w:pPr>
    </w:p>
    <w:p w:rsidR="0081436D" w:rsidRDefault="00BD165F">
      <w:pPr>
        <w:pStyle w:val="18"/>
        <w:spacing w:line="580" w:lineRule="exact"/>
        <w:outlineLvl w:val="0"/>
        <w:rPr>
          <w:rFonts w:ascii="仿宋_GB2312" w:eastAsia="仿宋_GB2312" w:hAnsi="仿宋_GB2312"/>
          <w:b/>
          <w:color w:val="000000"/>
          <w:sz w:val="32"/>
          <w:szCs w:val="32"/>
        </w:rPr>
      </w:pPr>
      <w:bookmarkStart w:id="274" w:name="_Toc11603"/>
      <w:bookmarkStart w:id="275" w:name="_Toc20135"/>
      <w:bookmarkStart w:id="276" w:name="_Toc12353"/>
      <w:bookmarkStart w:id="277" w:name="_Toc16438"/>
      <w:bookmarkStart w:id="278" w:name="_Toc16343"/>
      <w:bookmarkStart w:id="279" w:name="_Toc30487"/>
      <w:bookmarkStart w:id="280" w:name="_Toc19794"/>
      <w:bookmarkStart w:id="281" w:name="_Toc25562"/>
      <w:bookmarkStart w:id="282" w:name="_Toc5302"/>
      <w:r>
        <w:rPr>
          <w:rFonts w:ascii="仿宋_GB2312" w:eastAsia="仿宋_GB2312" w:hAnsi="仿宋_GB2312"/>
          <w:b/>
          <w:color w:val="000000"/>
          <w:sz w:val="32"/>
          <w:szCs w:val="32"/>
        </w:rPr>
        <w:t>法定代表人（或授权代表人）：</w:t>
      </w:r>
      <w:bookmarkEnd w:id="274"/>
      <w:bookmarkEnd w:id="275"/>
      <w:bookmarkEnd w:id="276"/>
      <w:bookmarkEnd w:id="277"/>
      <w:bookmarkEnd w:id="278"/>
      <w:bookmarkEnd w:id="279"/>
      <w:bookmarkEnd w:id="280"/>
      <w:bookmarkEnd w:id="281"/>
      <w:bookmarkEnd w:id="282"/>
    </w:p>
    <w:p w:rsidR="0081436D" w:rsidRDefault="0081436D">
      <w:pPr>
        <w:pStyle w:val="18"/>
        <w:spacing w:line="580" w:lineRule="exact"/>
        <w:ind w:firstLine="643"/>
        <w:rPr>
          <w:rFonts w:ascii="仿宋_GB2312" w:eastAsia="仿宋_GB2312" w:hAnsi="仿宋_GB2312"/>
          <w:b/>
          <w:color w:val="000000"/>
          <w:sz w:val="32"/>
          <w:szCs w:val="32"/>
        </w:rPr>
      </w:pPr>
    </w:p>
    <w:p w:rsidR="0081436D" w:rsidRDefault="00BD165F">
      <w:pPr>
        <w:pStyle w:val="18"/>
        <w:spacing w:line="580" w:lineRule="exact"/>
        <w:ind w:firstLineChars="200" w:firstLine="643"/>
        <w:outlineLvl w:val="0"/>
        <w:rPr>
          <w:rFonts w:ascii="仿宋_GB2312" w:eastAsia="仿宋_GB2312" w:hAnsi="仿宋_GB2312"/>
          <w:color w:val="000000"/>
          <w:sz w:val="32"/>
          <w:szCs w:val="32"/>
        </w:rPr>
      </w:pPr>
      <w:bookmarkStart w:id="283" w:name="_Toc9772"/>
      <w:bookmarkStart w:id="284" w:name="_Toc23977"/>
      <w:bookmarkStart w:id="285" w:name="_Toc26045"/>
      <w:bookmarkStart w:id="286" w:name="_Toc19861"/>
      <w:bookmarkStart w:id="287" w:name="_Toc21490"/>
      <w:bookmarkStart w:id="288" w:name="_Toc23853"/>
      <w:bookmarkStart w:id="289" w:name="_Toc27138"/>
      <w:bookmarkStart w:id="290" w:name="_Toc20761"/>
      <w:bookmarkStart w:id="291" w:name="_Toc23885"/>
      <w:r>
        <w:rPr>
          <w:rFonts w:ascii="仿宋_GB2312" w:eastAsia="仿宋_GB2312" w:hAnsi="仿宋_GB2312"/>
          <w:b/>
          <w:color w:val="000000"/>
          <w:sz w:val="32"/>
          <w:szCs w:val="32"/>
        </w:rPr>
        <w:t>年</w:t>
      </w:r>
      <w:r>
        <w:rPr>
          <w:rFonts w:ascii="仿宋_GB2312" w:eastAsia="仿宋_GB2312" w:hAnsi="仿宋_GB2312"/>
          <w:b/>
          <w:color w:val="000000"/>
          <w:sz w:val="32"/>
          <w:szCs w:val="32"/>
        </w:rPr>
        <w:t xml:space="preserve">    </w:t>
      </w:r>
      <w:r>
        <w:rPr>
          <w:rFonts w:ascii="仿宋_GB2312" w:eastAsia="仿宋_GB2312" w:hAnsi="仿宋_GB2312"/>
          <w:b/>
          <w:color w:val="000000"/>
          <w:sz w:val="32"/>
          <w:szCs w:val="32"/>
        </w:rPr>
        <w:t>月</w:t>
      </w:r>
      <w:r>
        <w:rPr>
          <w:rFonts w:ascii="仿宋_GB2312" w:eastAsia="仿宋_GB2312" w:hAnsi="仿宋_GB2312"/>
          <w:b/>
          <w:color w:val="000000"/>
          <w:sz w:val="32"/>
          <w:szCs w:val="32"/>
        </w:rPr>
        <w:t xml:space="preserve">    </w:t>
      </w:r>
      <w:r>
        <w:rPr>
          <w:rFonts w:ascii="仿宋_GB2312" w:eastAsia="仿宋_GB2312" w:hAnsi="仿宋_GB2312"/>
          <w:b/>
          <w:color w:val="000000"/>
          <w:sz w:val="32"/>
          <w:szCs w:val="32"/>
        </w:rPr>
        <w:t>日</w:t>
      </w:r>
      <w:bookmarkEnd w:id="283"/>
      <w:bookmarkEnd w:id="284"/>
      <w:bookmarkEnd w:id="285"/>
      <w:bookmarkEnd w:id="286"/>
      <w:bookmarkEnd w:id="287"/>
      <w:bookmarkEnd w:id="288"/>
      <w:bookmarkEnd w:id="289"/>
      <w:bookmarkEnd w:id="290"/>
      <w:bookmarkEnd w:id="291"/>
    </w:p>
    <w:p w:rsidR="0081436D" w:rsidRDefault="0081436D">
      <w:pPr>
        <w:pStyle w:val="18"/>
        <w:spacing w:line="360" w:lineRule="auto"/>
        <w:rPr>
          <w:rFonts w:ascii="仿宋_GB2312" w:eastAsia="仿宋_GB2312" w:hAnsi="仿宋_GB2312"/>
          <w:b/>
          <w:color w:val="000000"/>
          <w:sz w:val="32"/>
          <w:szCs w:val="32"/>
        </w:rPr>
      </w:pPr>
    </w:p>
    <w:p w:rsidR="0081436D" w:rsidRDefault="0081436D">
      <w:pPr>
        <w:pStyle w:val="18"/>
        <w:spacing w:line="360" w:lineRule="auto"/>
        <w:rPr>
          <w:rFonts w:ascii="仿宋_GB2312" w:eastAsia="仿宋_GB2312" w:hAnsi="仿宋_GB2312"/>
          <w:b/>
          <w:color w:val="000000"/>
          <w:sz w:val="28"/>
          <w:szCs w:val="28"/>
        </w:rPr>
      </w:pPr>
    </w:p>
    <w:p w:rsidR="0081436D" w:rsidRDefault="0081436D">
      <w:pPr>
        <w:pStyle w:val="18"/>
        <w:spacing w:line="360" w:lineRule="auto"/>
        <w:rPr>
          <w:rFonts w:ascii="仿宋_GB2312" w:eastAsia="仿宋_GB2312" w:hAnsi="仿宋_GB2312"/>
          <w:b/>
          <w:color w:val="000000"/>
          <w:sz w:val="28"/>
          <w:szCs w:val="28"/>
        </w:rPr>
      </w:pPr>
    </w:p>
    <w:bookmarkEnd w:id="236"/>
    <w:bookmarkEnd w:id="237"/>
    <w:p w:rsidR="0081436D" w:rsidRDefault="00BD165F">
      <w:pPr>
        <w:spacing w:line="590" w:lineRule="exact"/>
        <w:rPr>
          <w:rFonts w:ascii="仿宋_GB2312" w:eastAsia="仿宋_GB2312" w:hAnsi="仿宋_GB2312"/>
          <w:b/>
          <w:sz w:val="32"/>
          <w:szCs w:val="32"/>
        </w:rPr>
      </w:pPr>
      <w:r>
        <w:rPr>
          <w:rFonts w:ascii="仿宋_GB2312" w:eastAsia="仿宋_GB2312" w:hAnsi="仿宋_GB2312"/>
          <w:b/>
          <w:sz w:val="32"/>
          <w:szCs w:val="32"/>
        </w:rPr>
        <w:lastRenderedPageBreak/>
        <w:t>附件一：</w:t>
      </w:r>
    </w:p>
    <w:p w:rsidR="0081436D" w:rsidRDefault="00BD165F">
      <w:pPr>
        <w:spacing w:line="590" w:lineRule="exact"/>
        <w:ind w:firstLine="315"/>
        <w:jc w:val="center"/>
        <w:rPr>
          <w:rFonts w:ascii="仿宋_GB2312" w:eastAsia="仿宋_GB2312" w:hAnsi="仿宋_GB2312"/>
          <w:b/>
          <w:sz w:val="32"/>
          <w:szCs w:val="32"/>
        </w:rPr>
      </w:pPr>
      <w:r>
        <w:rPr>
          <w:rFonts w:ascii="仿宋_GB2312" w:eastAsia="仿宋_GB2312" w:hAnsi="仿宋_GB2312"/>
          <w:b/>
          <w:sz w:val="32"/>
          <w:szCs w:val="32"/>
        </w:rPr>
        <w:t>光大理财</w:t>
      </w:r>
      <w:r>
        <w:rPr>
          <w:rFonts w:ascii="仿宋_GB2312" w:eastAsia="仿宋_GB2312" w:hAnsi="仿宋_GB2312"/>
          <w:b/>
          <w:sz w:val="32"/>
          <w:szCs w:val="32"/>
        </w:rPr>
        <w:t>[</w:t>
      </w:r>
      <w:r>
        <w:rPr>
          <w:rFonts w:ascii="仿宋_GB2312" w:eastAsia="仿宋_GB2312" w:hAnsi="仿宋_GB2312"/>
          <w:b/>
          <w:sz w:val="32"/>
          <w:szCs w:val="32"/>
        </w:rPr>
        <w:t>产品名称</w:t>
      </w:r>
      <w:r>
        <w:rPr>
          <w:rFonts w:ascii="仿宋_GB2312" w:eastAsia="仿宋_GB2312" w:hAnsi="仿宋_GB2312"/>
          <w:b/>
          <w:sz w:val="32"/>
          <w:szCs w:val="32"/>
        </w:rPr>
        <w:t>]</w:t>
      </w:r>
      <w:r>
        <w:rPr>
          <w:rFonts w:ascii="仿宋_GB2312" w:eastAsia="仿宋_GB2312" w:hAnsi="仿宋_GB2312"/>
          <w:b/>
          <w:sz w:val="32"/>
          <w:szCs w:val="32"/>
        </w:rPr>
        <w:t>理财产品</w:t>
      </w:r>
    </w:p>
    <w:p w:rsidR="0081436D" w:rsidRDefault="00BD165F">
      <w:pPr>
        <w:spacing w:line="590" w:lineRule="exact"/>
        <w:ind w:firstLine="315"/>
        <w:jc w:val="center"/>
        <w:rPr>
          <w:rFonts w:ascii="仿宋_GB2312" w:eastAsia="仿宋_GB2312" w:hAnsi="仿宋_GB2312"/>
          <w:b/>
          <w:sz w:val="32"/>
          <w:szCs w:val="32"/>
        </w:rPr>
      </w:pPr>
      <w:r>
        <w:rPr>
          <w:rFonts w:ascii="仿宋_GB2312" w:eastAsia="仿宋_GB2312" w:hAnsi="仿宋_GB2312"/>
          <w:b/>
          <w:sz w:val="32"/>
          <w:szCs w:val="32"/>
        </w:rPr>
        <w:t>资金划拨指定银行存款账户</w:t>
      </w:r>
    </w:p>
    <w:p w:rsidR="0081436D" w:rsidRDefault="00BD165F">
      <w:pPr>
        <w:pStyle w:val="18"/>
        <w:spacing w:line="500" w:lineRule="exact"/>
        <w:jc w:val="left"/>
        <w:rPr>
          <w:rFonts w:ascii="仿宋_GB2312" w:eastAsia="仿宋_GB2312" w:hAnsi="仿宋_GB2312"/>
          <w:b/>
          <w:bCs/>
          <w:sz w:val="28"/>
          <w:szCs w:val="28"/>
        </w:rPr>
      </w:pPr>
      <w:r>
        <w:rPr>
          <w:rFonts w:ascii="仿宋_GB2312" w:eastAsia="仿宋_GB2312" w:hAnsi="仿宋_GB2312"/>
          <w:b/>
          <w:bCs/>
          <w:sz w:val="28"/>
          <w:szCs w:val="28"/>
        </w:rPr>
        <w:t>1.</w:t>
      </w:r>
      <w:r>
        <w:rPr>
          <w:rFonts w:ascii="仿宋_GB2312" w:eastAsia="仿宋_GB2312" w:hAnsi="仿宋_GB2312"/>
          <w:b/>
          <w:bCs/>
          <w:sz w:val="28"/>
          <w:szCs w:val="28"/>
        </w:rPr>
        <w:t>理财产品资金托管账户</w:t>
      </w:r>
    </w:p>
    <w:p w:rsidR="0081436D" w:rsidRDefault="00BD165F">
      <w:pPr>
        <w:pStyle w:val="18"/>
        <w:spacing w:line="500" w:lineRule="exact"/>
        <w:jc w:val="left"/>
        <w:rPr>
          <w:rFonts w:ascii="仿宋_GB2312" w:eastAsia="仿宋_GB2312" w:hAnsi="仿宋_GB2312"/>
          <w:sz w:val="28"/>
          <w:szCs w:val="28"/>
        </w:rPr>
      </w:pPr>
      <w:r>
        <w:rPr>
          <w:rFonts w:ascii="仿宋_GB2312" w:eastAsia="仿宋_GB2312" w:hAnsi="仿宋_GB2312"/>
          <w:sz w:val="28"/>
          <w:szCs w:val="28"/>
        </w:rPr>
        <w:t>户名：</w:t>
      </w:r>
    </w:p>
    <w:p w:rsidR="0081436D" w:rsidRDefault="00BD165F">
      <w:pPr>
        <w:pStyle w:val="18"/>
        <w:spacing w:line="500" w:lineRule="exact"/>
        <w:jc w:val="left"/>
        <w:rPr>
          <w:rFonts w:ascii="仿宋_GB2312" w:eastAsia="仿宋_GB2312" w:hAnsi="仿宋_GB2312"/>
          <w:sz w:val="28"/>
          <w:szCs w:val="28"/>
        </w:rPr>
      </w:pPr>
      <w:r>
        <w:rPr>
          <w:rFonts w:ascii="仿宋_GB2312" w:eastAsia="仿宋_GB2312" w:hAnsi="仿宋_GB2312"/>
          <w:sz w:val="28"/>
          <w:szCs w:val="28"/>
        </w:rPr>
        <w:t>账号：</w:t>
      </w:r>
    </w:p>
    <w:p w:rsidR="0081436D" w:rsidRDefault="00BD165F">
      <w:pPr>
        <w:pStyle w:val="18"/>
        <w:spacing w:line="500" w:lineRule="exact"/>
        <w:jc w:val="left"/>
        <w:rPr>
          <w:rFonts w:ascii="仿宋_GB2312" w:eastAsia="仿宋_GB2312" w:hAnsi="仿宋_GB2312"/>
          <w:sz w:val="28"/>
          <w:szCs w:val="28"/>
        </w:rPr>
      </w:pPr>
      <w:r>
        <w:rPr>
          <w:rFonts w:ascii="仿宋_GB2312" w:eastAsia="仿宋_GB2312" w:hAnsi="仿宋_GB2312"/>
          <w:sz w:val="28"/>
          <w:szCs w:val="28"/>
        </w:rPr>
        <w:t>开户行：</w:t>
      </w:r>
    </w:p>
    <w:p w:rsidR="0081436D" w:rsidRDefault="0081436D">
      <w:pPr>
        <w:pStyle w:val="18"/>
        <w:spacing w:line="500" w:lineRule="exact"/>
        <w:jc w:val="left"/>
        <w:rPr>
          <w:rFonts w:ascii="仿宋_GB2312" w:eastAsia="仿宋_GB2312" w:hAnsi="仿宋_GB2312"/>
          <w:sz w:val="28"/>
          <w:szCs w:val="28"/>
        </w:rPr>
      </w:pPr>
    </w:p>
    <w:p w:rsidR="0081436D" w:rsidRDefault="00BD165F">
      <w:pPr>
        <w:pStyle w:val="18"/>
        <w:spacing w:line="500" w:lineRule="exact"/>
        <w:jc w:val="left"/>
        <w:rPr>
          <w:rFonts w:ascii="仿宋_GB2312" w:eastAsia="仿宋_GB2312" w:hAnsi="仿宋_GB2312"/>
          <w:b/>
          <w:bCs/>
          <w:sz w:val="28"/>
          <w:szCs w:val="28"/>
        </w:rPr>
      </w:pPr>
      <w:r>
        <w:rPr>
          <w:rFonts w:ascii="仿宋_GB2312" w:eastAsia="仿宋_GB2312" w:hAnsi="仿宋_GB2312"/>
          <w:b/>
          <w:bCs/>
          <w:sz w:val="28"/>
          <w:szCs w:val="28"/>
        </w:rPr>
        <w:t>2.</w:t>
      </w:r>
      <w:r>
        <w:rPr>
          <w:rFonts w:ascii="仿宋_GB2312" w:eastAsia="仿宋_GB2312" w:hAnsi="仿宋_GB2312"/>
          <w:b/>
          <w:bCs/>
          <w:sz w:val="28"/>
          <w:szCs w:val="28"/>
        </w:rPr>
        <w:t>托管费收入账户</w:t>
      </w:r>
    </w:p>
    <w:p w:rsidR="0081436D" w:rsidRDefault="00BD165F">
      <w:pPr>
        <w:pStyle w:val="18"/>
        <w:spacing w:line="500" w:lineRule="exact"/>
        <w:jc w:val="left"/>
        <w:rPr>
          <w:rFonts w:ascii="仿宋_GB2312" w:eastAsia="仿宋_GB2312" w:hAnsi="仿宋_GB2312"/>
          <w:sz w:val="28"/>
          <w:szCs w:val="28"/>
        </w:rPr>
      </w:pPr>
      <w:bookmarkStart w:id="292" w:name="Text9"/>
      <w:r>
        <w:rPr>
          <w:rFonts w:ascii="仿宋_GB2312" w:eastAsia="仿宋_GB2312" w:hAnsi="仿宋_GB2312"/>
          <w:sz w:val="28"/>
          <w:szCs w:val="28"/>
        </w:rPr>
        <w:t>户名：</w:t>
      </w:r>
      <w:r>
        <w:rPr>
          <w:rFonts w:ascii="仿宋_GB2312" w:eastAsia="仿宋_GB2312" w:hAnsi="仿宋_GB2312" w:hint="eastAsia"/>
          <w:sz w:val="28"/>
          <w:szCs w:val="28"/>
        </w:rPr>
        <w:t>托管费收入暂收暂付户</w:t>
      </w:r>
    </w:p>
    <w:p w:rsidR="0081436D" w:rsidRDefault="00BD165F">
      <w:pPr>
        <w:pStyle w:val="18"/>
        <w:spacing w:line="500" w:lineRule="exact"/>
        <w:jc w:val="left"/>
        <w:rPr>
          <w:rFonts w:ascii="仿宋_GB2312" w:eastAsia="仿宋_GB2312" w:hAnsi="仿宋_GB2312"/>
          <w:sz w:val="28"/>
          <w:szCs w:val="28"/>
        </w:rPr>
      </w:pPr>
      <w:r>
        <w:rPr>
          <w:rFonts w:ascii="仿宋_GB2312" w:eastAsia="仿宋_GB2312" w:hAnsi="仿宋_GB2312"/>
          <w:sz w:val="28"/>
          <w:szCs w:val="28"/>
        </w:rPr>
        <w:t>账号：</w:t>
      </w:r>
      <w:r>
        <w:rPr>
          <w:rFonts w:ascii="仿宋_GB2312" w:eastAsia="仿宋_GB2312" w:hAnsi="仿宋_GB2312"/>
          <w:sz w:val="28"/>
          <w:szCs w:val="28"/>
        </w:rPr>
        <w:t>110001900156313999000000019</w:t>
      </w:r>
    </w:p>
    <w:p w:rsidR="0081436D" w:rsidRDefault="00BD165F">
      <w:pPr>
        <w:pStyle w:val="18"/>
        <w:spacing w:line="500" w:lineRule="exact"/>
        <w:jc w:val="left"/>
        <w:rPr>
          <w:rFonts w:ascii="仿宋_GB2312" w:eastAsia="仿宋_GB2312" w:hAnsi="仿宋_GB2312"/>
          <w:sz w:val="28"/>
          <w:szCs w:val="28"/>
        </w:rPr>
      </w:pPr>
      <w:r>
        <w:rPr>
          <w:rFonts w:ascii="仿宋_GB2312" w:eastAsia="仿宋_GB2312" w:hAnsi="仿宋_GB2312"/>
          <w:sz w:val="28"/>
          <w:szCs w:val="28"/>
        </w:rPr>
        <w:t>开户行：</w:t>
      </w:r>
      <w:r>
        <w:rPr>
          <w:rFonts w:ascii="仿宋_GB2312" w:eastAsia="仿宋_GB2312" w:hAnsi="仿宋_GB2312" w:hint="eastAsia"/>
          <w:sz w:val="28"/>
          <w:szCs w:val="28"/>
        </w:rPr>
        <w:t>建行北京分行营运管理部</w:t>
      </w:r>
    </w:p>
    <w:p w:rsidR="0081436D" w:rsidRDefault="00BD165F">
      <w:pPr>
        <w:pStyle w:val="18"/>
        <w:spacing w:line="500" w:lineRule="exact"/>
        <w:jc w:val="left"/>
        <w:rPr>
          <w:rFonts w:ascii="仿宋_GB2312" w:eastAsia="仿宋_GB2312" w:hAnsi="仿宋_GB2312"/>
          <w:sz w:val="28"/>
          <w:szCs w:val="28"/>
        </w:rPr>
      </w:pPr>
      <w:r>
        <w:rPr>
          <w:rFonts w:ascii="仿宋_GB2312" w:eastAsia="仿宋_GB2312" w:hAnsi="仿宋_GB2312"/>
          <w:sz w:val="28"/>
          <w:szCs w:val="28"/>
        </w:rPr>
        <w:t>大额支付号：</w:t>
      </w:r>
      <w:r>
        <w:rPr>
          <w:rFonts w:ascii="仿宋_GB2312" w:eastAsia="仿宋_GB2312" w:hAnsi="仿宋_GB2312"/>
          <w:sz w:val="28"/>
          <w:szCs w:val="28"/>
        </w:rPr>
        <w:t>105100098013</w:t>
      </w:r>
    </w:p>
    <w:bookmarkEnd w:id="292"/>
    <w:p w:rsidR="0081436D" w:rsidRDefault="0081436D">
      <w:pPr>
        <w:pStyle w:val="18"/>
        <w:spacing w:line="500" w:lineRule="exact"/>
        <w:jc w:val="left"/>
        <w:rPr>
          <w:rFonts w:ascii="仿宋_GB2312" w:eastAsia="仿宋_GB2312" w:hAnsi="仿宋_GB2312"/>
          <w:bCs/>
          <w:spacing w:val="6"/>
          <w:sz w:val="28"/>
          <w:szCs w:val="28"/>
        </w:rPr>
      </w:pPr>
    </w:p>
    <w:p w:rsidR="0081436D" w:rsidRDefault="00BD165F">
      <w:pPr>
        <w:pStyle w:val="18"/>
        <w:spacing w:line="500" w:lineRule="exact"/>
        <w:jc w:val="left"/>
        <w:rPr>
          <w:rFonts w:ascii="仿宋_GB2312" w:eastAsia="仿宋_GB2312" w:hAnsi="仿宋_GB2312"/>
          <w:bCs/>
          <w:spacing w:val="6"/>
          <w:sz w:val="28"/>
          <w:szCs w:val="28"/>
        </w:rPr>
      </w:pPr>
      <w:r>
        <w:rPr>
          <w:rFonts w:ascii="仿宋_GB2312" w:eastAsia="仿宋_GB2312" w:hAnsi="仿宋_GB2312"/>
          <w:b/>
          <w:spacing w:val="6"/>
          <w:sz w:val="28"/>
          <w:szCs w:val="28"/>
        </w:rPr>
        <w:t>3.</w:t>
      </w:r>
      <w:r>
        <w:rPr>
          <w:rFonts w:ascii="仿宋_GB2312" w:eastAsia="仿宋_GB2312" w:hAnsi="仿宋_GB2312"/>
          <w:b/>
          <w:spacing w:val="6"/>
          <w:sz w:val="28"/>
          <w:szCs w:val="28"/>
        </w:rPr>
        <w:t>管理费收入账户</w:t>
      </w:r>
    </w:p>
    <w:p w:rsidR="0081436D" w:rsidRDefault="00BD165F">
      <w:pPr>
        <w:pStyle w:val="18"/>
        <w:spacing w:line="500" w:lineRule="exact"/>
        <w:jc w:val="left"/>
        <w:rPr>
          <w:rFonts w:ascii="仿宋_GB2312" w:eastAsia="仿宋_GB2312" w:hAnsi="仿宋_GB2312"/>
          <w:bCs/>
          <w:spacing w:val="6"/>
          <w:sz w:val="28"/>
          <w:szCs w:val="28"/>
        </w:rPr>
      </w:pPr>
      <w:r>
        <w:rPr>
          <w:rFonts w:ascii="仿宋_GB2312" w:eastAsia="仿宋_GB2312" w:hAnsi="仿宋_GB2312"/>
          <w:bCs/>
          <w:spacing w:val="6"/>
          <w:sz w:val="28"/>
          <w:szCs w:val="28"/>
        </w:rPr>
        <w:t>户名：光大理财有限责任公司</w:t>
      </w:r>
    </w:p>
    <w:p w:rsidR="0081436D" w:rsidRDefault="00BD165F">
      <w:pPr>
        <w:pStyle w:val="18"/>
        <w:spacing w:line="500" w:lineRule="exact"/>
        <w:jc w:val="left"/>
        <w:rPr>
          <w:rFonts w:ascii="仿宋_GB2312" w:eastAsia="仿宋_GB2312" w:hAnsi="仿宋_GB2312"/>
          <w:bCs/>
          <w:spacing w:val="6"/>
          <w:sz w:val="28"/>
          <w:szCs w:val="28"/>
        </w:rPr>
      </w:pPr>
      <w:r>
        <w:rPr>
          <w:rFonts w:ascii="仿宋_GB2312" w:eastAsia="仿宋_GB2312" w:hAnsi="仿宋_GB2312"/>
          <w:bCs/>
          <w:spacing w:val="6"/>
          <w:sz w:val="28"/>
          <w:szCs w:val="28"/>
        </w:rPr>
        <w:t>账号：</w:t>
      </w:r>
      <w:r>
        <w:rPr>
          <w:rFonts w:ascii="仿宋_GB2312" w:eastAsia="仿宋_GB2312" w:hAnsi="仿宋_GB2312"/>
          <w:bCs/>
          <w:spacing w:val="6"/>
          <w:sz w:val="28"/>
          <w:szCs w:val="28"/>
        </w:rPr>
        <w:t>38250188000150025</w:t>
      </w:r>
    </w:p>
    <w:p w:rsidR="0081436D" w:rsidRDefault="00BD165F">
      <w:pPr>
        <w:pStyle w:val="18"/>
        <w:spacing w:line="500" w:lineRule="exact"/>
        <w:jc w:val="left"/>
        <w:rPr>
          <w:rFonts w:ascii="仿宋_GB2312" w:eastAsia="仿宋_GB2312" w:hAnsi="仿宋_GB2312"/>
          <w:bCs/>
          <w:spacing w:val="6"/>
          <w:sz w:val="28"/>
          <w:szCs w:val="28"/>
        </w:rPr>
      </w:pPr>
      <w:r>
        <w:rPr>
          <w:rFonts w:ascii="仿宋_GB2312" w:eastAsia="仿宋_GB2312" w:hAnsi="仿宋_GB2312"/>
          <w:bCs/>
          <w:spacing w:val="6"/>
          <w:sz w:val="28"/>
          <w:szCs w:val="28"/>
        </w:rPr>
        <w:t>开户行：中国光大银行青岛崂山支行（支付号码：</w:t>
      </w:r>
      <w:r>
        <w:rPr>
          <w:rFonts w:ascii="仿宋_GB2312" w:eastAsia="仿宋_GB2312" w:hAnsi="仿宋_GB2312"/>
          <w:bCs/>
          <w:spacing w:val="6"/>
          <w:sz w:val="28"/>
          <w:szCs w:val="28"/>
        </w:rPr>
        <w:t>303452038257</w:t>
      </w:r>
      <w:r>
        <w:rPr>
          <w:rFonts w:ascii="仿宋_GB2312" w:eastAsia="仿宋_GB2312" w:hAnsi="仿宋_GB2312"/>
          <w:bCs/>
          <w:spacing w:val="6"/>
          <w:sz w:val="28"/>
          <w:szCs w:val="28"/>
        </w:rPr>
        <w:t>）</w:t>
      </w:r>
    </w:p>
    <w:p w:rsidR="0081436D" w:rsidRDefault="0081436D">
      <w:pPr>
        <w:pStyle w:val="18"/>
        <w:spacing w:line="500" w:lineRule="exact"/>
        <w:jc w:val="left"/>
        <w:rPr>
          <w:rFonts w:ascii="仿宋_GB2312" w:eastAsia="仿宋_GB2312" w:hAnsi="仿宋_GB2312"/>
          <w:bCs/>
          <w:spacing w:val="6"/>
          <w:sz w:val="28"/>
          <w:szCs w:val="28"/>
        </w:rPr>
      </w:pPr>
    </w:p>
    <w:p w:rsidR="0081436D" w:rsidRDefault="00BD165F">
      <w:pPr>
        <w:pStyle w:val="18"/>
        <w:spacing w:line="500" w:lineRule="exact"/>
        <w:jc w:val="left"/>
        <w:rPr>
          <w:rFonts w:ascii="仿宋_GB2312" w:eastAsia="仿宋_GB2312" w:hAnsi="仿宋_GB2312"/>
          <w:b/>
          <w:sz w:val="28"/>
          <w:szCs w:val="28"/>
        </w:rPr>
      </w:pPr>
      <w:r>
        <w:rPr>
          <w:rFonts w:ascii="仿宋_GB2312" w:eastAsia="仿宋_GB2312" w:hAnsi="仿宋_GB2312"/>
          <w:b/>
          <w:sz w:val="28"/>
          <w:szCs w:val="28"/>
        </w:rPr>
        <w:t>4.</w:t>
      </w:r>
      <w:r>
        <w:rPr>
          <w:rFonts w:ascii="仿宋_GB2312" w:eastAsia="仿宋_GB2312" w:hAnsi="仿宋_GB2312"/>
          <w:b/>
          <w:sz w:val="28"/>
          <w:szCs w:val="28"/>
        </w:rPr>
        <w:t>理财产品资金清算账户</w:t>
      </w:r>
    </w:p>
    <w:p w:rsidR="0081436D" w:rsidRDefault="00BD165F">
      <w:pPr>
        <w:pStyle w:val="18"/>
        <w:spacing w:line="500" w:lineRule="exact"/>
        <w:jc w:val="left"/>
        <w:rPr>
          <w:rFonts w:ascii="仿宋_GB2312" w:eastAsia="仿宋_GB2312" w:hAnsi="仿宋_GB2312"/>
          <w:sz w:val="28"/>
          <w:szCs w:val="28"/>
        </w:rPr>
      </w:pPr>
      <w:r>
        <w:rPr>
          <w:rFonts w:ascii="仿宋_GB2312" w:eastAsia="仿宋_GB2312" w:hAnsi="仿宋_GB2312"/>
          <w:sz w:val="28"/>
          <w:szCs w:val="28"/>
        </w:rPr>
        <w:t>户名：</w:t>
      </w:r>
      <w:r>
        <w:rPr>
          <w:rFonts w:ascii="仿宋_GB2312" w:eastAsia="仿宋_GB2312" w:hAnsi="仿宋_GB2312"/>
          <w:sz w:val="28"/>
          <w:szCs w:val="28"/>
        </w:rPr>
        <w:t xml:space="preserve"> </w:t>
      </w:r>
    </w:p>
    <w:p w:rsidR="0081436D" w:rsidRDefault="00BD165F">
      <w:pPr>
        <w:pStyle w:val="18"/>
        <w:spacing w:line="500" w:lineRule="exact"/>
        <w:jc w:val="left"/>
        <w:rPr>
          <w:rFonts w:ascii="仿宋_GB2312" w:eastAsia="仿宋_GB2312" w:hAnsi="仿宋_GB2312"/>
          <w:sz w:val="28"/>
          <w:szCs w:val="28"/>
        </w:rPr>
      </w:pPr>
      <w:r>
        <w:rPr>
          <w:rFonts w:ascii="仿宋_GB2312" w:eastAsia="仿宋_GB2312" w:hAnsi="仿宋_GB2312"/>
          <w:sz w:val="28"/>
          <w:szCs w:val="28"/>
        </w:rPr>
        <w:t>账号：</w:t>
      </w:r>
      <w:r>
        <w:rPr>
          <w:rFonts w:ascii="仿宋_GB2312" w:eastAsia="仿宋_GB2312" w:hAnsi="仿宋_GB2312"/>
          <w:sz w:val="28"/>
          <w:szCs w:val="28"/>
        </w:rPr>
        <w:t xml:space="preserve"> </w:t>
      </w:r>
    </w:p>
    <w:p w:rsidR="0081436D" w:rsidRDefault="00BD165F">
      <w:pPr>
        <w:pStyle w:val="18"/>
        <w:spacing w:line="500" w:lineRule="exact"/>
        <w:jc w:val="left"/>
        <w:rPr>
          <w:rFonts w:ascii="仿宋_GB2312" w:eastAsia="仿宋_GB2312" w:hAnsi="仿宋_GB2312"/>
          <w:sz w:val="28"/>
          <w:szCs w:val="28"/>
        </w:rPr>
      </w:pPr>
      <w:r>
        <w:rPr>
          <w:rFonts w:ascii="仿宋_GB2312" w:eastAsia="仿宋_GB2312" w:hAnsi="仿宋_GB2312"/>
          <w:sz w:val="28"/>
          <w:szCs w:val="28"/>
        </w:rPr>
        <w:t>开户行：</w:t>
      </w:r>
    </w:p>
    <w:p w:rsidR="0081436D" w:rsidRDefault="00BD165F">
      <w:pPr>
        <w:pStyle w:val="18"/>
        <w:spacing w:line="500" w:lineRule="exact"/>
        <w:rPr>
          <w:rFonts w:ascii="仿宋_GB2312" w:eastAsia="仿宋_GB2312" w:hAnsi="仿宋_GB2312"/>
          <w:sz w:val="28"/>
          <w:szCs w:val="28"/>
        </w:rPr>
      </w:pPr>
      <w:r>
        <w:rPr>
          <w:rFonts w:ascii="仿宋_GB2312" w:eastAsia="仿宋_GB2312" w:hAnsi="仿宋_GB2312"/>
          <w:sz w:val="28"/>
          <w:szCs w:val="28"/>
        </w:rPr>
        <w:t>光大理财有限责任公司</w:t>
      </w:r>
      <w:r>
        <w:rPr>
          <w:rFonts w:ascii="仿宋_GB2312" w:eastAsia="仿宋_GB2312" w:hAnsi="仿宋_GB2312" w:hint="eastAsia"/>
          <w:sz w:val="28"/>
          <w:szCs w:val="28"/>
        </w:rPr>
        <w:t xml:space="preserve">     </w:t>
      </w:r>
      <w:r>
        <w:rPr>
          <w:rFonts w:ascii="仿宋_GB2312" w:eastAsia="仿宋_GB2312" w:hAnsi="仿宋_GB2312" w:hint="eastAsia"/>
          <w:sz w:val="28"/>
          <w:szCs w:val="28"/>
        </w:rPr>
        <w:t>中国建设银行股份有限公司北京市分行</w:t>
      </w:r>
    </w:p>
    <w:p w:rsidR="0081436D" w:rsidRDefault="00BD165F">
      <w:pPr>
        <w:pStyle w:val="18"/>
        <w:widowControl/>
        <w:jc w:val="left"/>
        <w:rPr>
          <w:rFonts w:ascii="仿宋_GB2312" w:eastAsia="仿宋_GB2312" w:hAnsi="仿宋_GB2312"/>
          <w:sz w:val="28"/>
          <w:szCs w:val="28"/>
        </w:rPr>
      </w:pPr>
      <w:r>
        <w:rPr>
          <w:rFonts w:ascii="仿宋_GB2312" w:eastAsia="仿宋_GB2312" w:hAnsi="仿宋_GB2312"/>
          <w:sz w:val="28"/>
          <w:szCs w:val="28"/>
        </w:rPr>
        <w:t xml:space="preserve">      </w:t>
      </w:r>
      <w:r>
        <w:rPr>
          <w:rFonts w:ascii="仿宋_GB2312" w:eastAsia="仿宋_GB2312" w:hAnsi="仿宋_GB2312"/>
          <w:sz w:val="28"/>
          <w:szCs w:val="28"/>
        </w:rPr>
        <w:t>（</w:t>
      </w:r>
      <w:r>
        <w:rPr>
          <w:rFonts w:ascii="仿宋_GB2312" w:eastAsia="仿宋_GB2312" w:hAnsi="仿宋_GB2312" w:hint="eastAsia"/>
          <w:sz w:val="28"/>
          <w:szCs w:val="28"/>
        </w:rPr>
        <w:t>公章</w:t>
      </w:r>
      <w:r>
        <w:rPr>
          <w:rFonts w:ascii="仿宋_GB2312" w:eastAsia="仿宋_GB2312" w:hAnsi="仿宋_GB2312"/>
          <w:sz w:val="28"/>
          <w:szCs w:val="28"/>
        </w:rPr>
        <w:t>）</w:t>
      </w:r>
      <w:r>
        <w:rPr>
          <w:rFonts w:ascii="仿宋_GB2312" w:eastAsia="仿宋_GB2312" w:hAnsi="仿宋_GB2312"/>
          <w:sz w:val="28"/>
          <w:szCs w:val="28"/>
        </w:rPr>
        <w:t xml:space="preserve">                  </w:t>
      </w:r>
      <w:r>
        <w:rPr>
          <w:rFonts w:ascii="仿宋_GB2312" w:eastAsia="仿宋_GB2312" w:hAnsi="仿宋_GB2312" w:hint="eastAsia"/>
          <w:sz w:val="28"/>
          <w:szCs w:val="28"/>
        </w:rPr>
        <w:t xml:space="preserve">       </w:t>
      </w:r>
      <w:r>
        <w:rPr>
          <w:rFonts w:ascii="仿宋_GB2312" w:eastAsia="仿宋_GB2312" w:hAnsi="仿宋_GB2312"/>
          <w:sz w:val="28"/>
          <w:szCs w:val="28"/>
        </w:rPr>
        <w:t xml:space="preserve"> </w:t>
      </w:r>
      <w:r>
        <w:rPr>
          <w:rFonts w:ascii="仿宋_GB2312" w:eastAsia="仿宋_GB2312" w:hAnsi="仿宋_GB2312"/>
          <w:sz w:val="28"/>
          <w:szCs w:val="28"/>
        </w:rPr>
        <w:t>（</w:t>
      </w:r>
      <w:r>
        <w:rPr>
          <w:rFonts w:ascii="仿宋_GB2312" w:eastAsia="仿宋_GB2312" w:hAnsi="仿宋_GB2312" w:hint="eastAsia"/>
          <w:sz w:val="28"/>
          <w:szCs w:val="28"/>
        </w:rPr>
        <w:t>托管业务专用章</w:t>
      </w:r>
      <w:r>
        <w:rPr>
          <w:rFonts w:ascii="仿宋_GB2312" w:eastAsia="仿宋_GB2312" w:hAnsi="仿宋_GB2312"/>
          <w:sz w:val="28"/>
          <w:szCs w:val="28"/>
        </w:rPr>
        <w:t>）</w:t>
      </w:r>
    </w:p>
    <w:p w:rsidR="0081436D" w:rsidRDefault="00BD165F">
      <w:pPr>
        <w:spacing w:line="590" w:lineRule="exact"/>
        <w:rPr>
          <w:rFonts w:ascii="仿宋_GB2312" w:eastAsia="仿宋_GB2312" w:hAnsi="仿宋_GB2312" w:cs="仿宋_GB2312"/>
          <w:b/>
          <w:bCs/>
          <w:sz w:val="32"/>
          <w:szCs w:val="32"/>
        </w:rPr>
      </w:pPr>
      <w:r>
        <w:rPr>
          <w:rFonts w:ascii="仿宋_GB2312" w:eastAsia="仿宋_GB2312" w:hAnsi="仿宋_GB2312"/>
          <w:sz w:val="28"/>
          <w:szCs w:val="28"/>
        </w:rPr>
        <w:t xml:space="preserve">   </w:t>
      </w:r>
      <w:r>
        <w:rPr>
          <w:rFonts w:ascii="仿宋_GB2312" w:eastAsia="仿宋_GB2312" w:hAnsi="仿宋_GB2312"/>
          <w:sz w:val="28"/>
          <w:szCs w:val="28"/>
        </w:rPr>
        <w:t>年</w:t>
      </w:r>
      <w:r>
        <w:rPr>
          <w:rFonts w:ascii="仿宋_GB2312" w:eastAsia="仿宋_GB2312" w:hAnsi="仿宋_GB2312"/>
          <w:sz w:val="28"/>
          <w:szCs w:val="28"/>
        </w:rPr>
        <w:t xml:space="preserve">    </w:t>
      </w:r>
      <w:r>
        <w:rPr>
          <w:rFonts w:ascii="仿宋_GB2312" w:eastAsia="仿宋_GB2312" w:hAnsi="仿宋_GB2312"/>
          <w:sz w:val="28"/>
          <w:szCs w:val="28"/>
        </w:rPr>
        <w:t>月</w:t>
      </w:r>
      <w:r>
        <w:rPr>
          <w:rFonts w:ascii="仿宋_GB2312" w:eastAsia="仿宋_GB2312" w:hAnsi="仿宋_GB2312"/>
          <w:sz w:val="28"/>
          <w:szCs w:val="28"/>
        </w:rPr>
        <w:t xml:space="preserve">    </w:t>
      </w:r>
      <w:r>
        <w:rPr>
          <w:rFonts w:ascii="仿宋_GB2312" w:eastAsia="仿宋_GB2312" w:hAnsi="仿宋_GB2312"/>
          <w:sz w:val="28"/>
          <w:szCs w:val="28"/>
        </w:rPr>
        <w:t>日</w:t>
      </w:r>
      <w:r>
        <w:rPr>
          <w:rFonts w:ascii="仿宋_GB2312" w:eastAsia="仿宋_GB2312" w:hAnsi="仿宋_GB2312"/>
          <w:sz w:val="28"/>
          <w:szCs w:val="28"/>
        </w:rPr>
        <w:t xml:space="preserve">                   </w:t>
      </w:r>
      <w:r>
        <w:rPr>
          <w:rFonts w:ascii="仿宋_GB2312" w:eastAsia="仿宋_GB2312" w:hAnsi="仿宋_GB2312" w:hint="eastAsia"/>
          <w:sz w:val="28"/>
          <w:szCs w:val="28"/>
        </w:rPr>
        <w:t xml:space="preserve">     </w:t>
      </w:r>
      <w:r>
        <w:rPr>
          <w:rFonts w:ascii="仿宋_GB2312" w:eastAsia="仿宋_GB2312" w:hAnsi="仿宋_GB2312"/>
          <w:sz w:val="28"/>
          <w:szCs w:val="28"/>
        </w:rPr>
        <w:t xml:space="preserve">  </w:t>
      </w:r>
      <w:r>
        <w:rPr>
          <w:rFonts w:ascii="仿宋_GB2312" w:eastAsia="仿宋_GB2312" w:hAnsi="仿宋_GB2312"/>
          <w:sz w:val="28"/>
          <w:szCs w:val="28"/>
        </w:rPr>
        <w:t>年</w:t>
      </w:r>
      <w:r>
        <w:rPr>
          <w:rFonts w:ascii="仿宋_GB2312" w:eastAsia="仿宋_GB2312" w:hAnsi="仿宋_GB2312"/>
          <w:sz w:val="28"/>
          <w:szCs w:val="28"/>
        </w:rPr>
        <w:t xml:space="preserve">    </w:t>
      </w:r>
      <w:r>
        <w:rPr>
          <w:rFonts w:ascii="仿宋_GB2312" w:eastAsia="仿宋_GB2312" w:hAnsi="仿宋_GB2312"/>
          <w:sz w:val="28"/>
          <w:szCs w:val="28"/>
        </w:rPr>
        <w:t>月</w:t>
      </w:r>
      <w:r>
        <w:rPr>
          <w:rFonts w:ascii="仿宋_GB2312" w:eastAsia="仿宋_GB2312" w:hAnsi="仿宋_GB2312"/>
          <w:sz w:val="28"/>
          <w:szCs w:val="28"/>
        </w:rPr>
        <w:t xml:space="preserve">    </w:t>
      </w:r>
      <w:r>
        <w:rPr>
          <w:rFonts w:ascii="仿宋_GB2312" w:eastAsia="仿宋_GB2312" w:hAnsi="仿宋_GB2312"/>
          <w:sz w:val="28"/>
          <w:szCs w:val="28"/>
        </w:rPr>
        <w:t>日</w:t>
      </w:r>
      <w:r>
        <w:rPr>
          <w:rFonts w:ascii="仿宋_GB2312" w:eastAsia="仿宋_GB2312" w:hAnsi="仿宋_GB2312"/>
          <w:b/>
          <w:sz w:val="28"/>
          <w:szCs w:val="28"/>
        </w:rPr>
        <w:br w:type="page"/>
      </w:r>
      <w:r>
        <w:rPr>
          <w:rFonts w:ascii="仿宋_GB2312" w:eastAsia="仿宋_GB2312" w:hAnsi="仿宋_GB2312" w:cs="仿宋_GB2312" w:hint="eastAsia"/>
          <w:b/>
          <w:bCs/>
          <w:sz w:val="32"/>
          <w:szCs w:val="32"/>
        </w:rPr>
        <w:lastRenderedPageBreak/>
        <w:t>附件二：</w:t>
      </w:r>
    </w:p>
    <w:p w:rsidR="0081436D" w:rsidRDefault="00BD165F">
      <w:pPr>
        <w:pStyle w:val="af"/>
        <w:widowControl w:val="0"/>
        <w:spacing w:before="0" w:beforeAutospacing="0" w:after="0" w:afterAutospacing="0" w:line="360" w:lineRule="auto"/>
        <w:ind w:firstLine="562"/>
        <w:jc w:val="center"/>
        <w:rPr>
          <w:rFonts w:ascii="仿宋_GB2312" w:eastAsia="仿宋_GB2312" w:hAnsi="宋体"/>
          <w:b/>
          <w:sz w:val="25"/>
          <w:szCs w:val="25"/>
        </w:rPr>
      </w:pPr>
      <w:r>
        <w:rPr>
          <w:rFonts w:ascii="仿宋_GB2312" w:eastAsia="仿宋_GB2312" w:cs="仿宋_GB2312" w:hint="eastAsia"/>
          <w:b/>
          <w:sz w:val="28"/>
          <w:szCs w:val="28"/>
          <w:lang w:bidi="ar"/>
        </w:rPr>
        <w:t>划款指令</w:t>
      </w:r>
    </w:p>
    <w:p w:rsidR="0081436D" w:rsidRDefault="00BD165F">
      <w:pPr>
        <w:pStyle w:val="af"/>
        <w:widowControl w:val="0"/>
        <w:spacing w:before="0" w:beforeAutospacing="0" w:after="0" w:afterAutospacing="0" w:line="360" w:lineRule="auto"/>
        <w:ind w:firstLine="500"/>
        <w:jc w:val="center"/>
        <w:rPr>
          <w:rFonts w:ascii="仿宋_GB2312" w:eastAsia="仿宋_GB2312" w:hAnsi="宋体"/>
          <w:sz w:val="25"/>
          <w:szCs w:val="25"/>
        </w:rPr>
      </w:pPr>
      <w:r>
        <w:rPr>
          <w:rFonts w:ascii="仿宋_GB2312" w:eastAsia="仿宋_GB2312" w:hAnsi="宋体" w:cs="仿宋_GB2312" w:hint="eastAsia"/>
          <w:sz w:val="25"/>
          <w:szCs w:val="25"/>
          <w:lang w:bidi="ar"/>
        </w:rPr>
        <w:t>第</w:t>
      </w:r>
      <w:r>
        <w:rPr>
          <w:rFonts w:ascii="仿宋_GB2312" w:eastAsia="仿宋_GB2312" w:hAnsi="宋体" w:hint="eastAsia"/>
          <w:sz w:val="25"/>
          <w:szCs w:val="25"/>
          <w:u w:val="single"/>
          <w:lang w:bidi="ar"/>
        </w:rPr>
        <w:t xml:space="preserve">    </w:t>
      </w:r>
      <w:r>
        <w:rPr>
          <w:rFonts w:ascii="仿宋_GB2312" w:eastAsia="仿宋_GB2312" w:hAnsi="宋体" w:cs="仿宋_GB2312" w:hint="eastAsia"/>
          <w:sz w:val="25"/>
          <w:szCs w:val="25"/>
          <w:lang w:bidi="ar"/>
        </w:rPr>
        <w:t>号</w:t>
      </w:r>
    </w:p>
    <w:p w:rsidR="0081436D" w:rsidRDefault="00BD165F">
      <w:pPr>
        <w:pStyle w:val="af"/>
        <w:widowControl w:val="0"/>
        <w:spacing w:before="0" w:beforeAutospacing="0" w:after="0" w:afterAutospacing="0" w:line="360" w:lineRule="auto"/>
        <w:ind w:firstLine="480"/>
        <w:jc w:val="both"/>
        <w:rPr>
          <w:rFonts w:ascii="仿宋_GB2312" w:eastAsia="仿宋_GB2312"/>
          <w:szCs w:val="24"/>
        </w:rPr>
      </w:pPr>
      <w:r>
        <w:rPr>
          <w:rFonts w:ascii="仿宋_GB2312" w:eastAsia="仿宋_GB2312" w:cs="仿宋_GB2312" w:hint="eastAsia"/>
          <w:szCs w:val="24"/>
          <w:lang w:bidi="ar"/>
        </w:rPr>
        <w:t>致：中国建设银行股份有限公司北京市分行</w:t>
      </w:r>
    </w:p>
    <w:p w:rsidR="0081436D" w:rsidRDefault="00BD165F">
      <w:pPr>
        <w:pStyle w:val="af"/>
        <w:widowControl w:val="0"/>
        <w:spacing w:before="0" w:beforeAutospacing="0" w:after="0" w:afterAutospacing="0" w:line="360" w:lineRule="auto"/>
        <w:ind w:firstLine="480"/>
        <w:jc w:val="both"/>
        <w:rPr>
          <w:rFonts w:ascii="仿宋_GB2312" w:eastAsia="仿宋_GB2312"/>
          <w:szCs w:val="24"/>
        </w:rPr>
      </w:pPr>
      <w:r>
        <w:rPr>
          <w:rFonts w:ascii="仿宋_GB2312" w:eastAsia="仿宋_GB2312" w:cs="仿宋_GB2312" w:hint="eastAsia"/>
          <w:szCs w:val="24"/>
          <w:lang w:bidi="ar"/>
        </w:rPr>
        <w:t>鉴于贵行与我司签署的《光大理财理财产品托管协议》之约定，特向贵行申请如下划款：</w:t>
      </w:r>
    </w:p>
    <w:p w:rsidR="0081436D" w:rsidRDefault="00BD165F">
      <w:pPr>
        <w:spacing w:line="360" w:lineRule="auto"/>
        <w:jc w:val="right"/>
        <w:rPr>
          <w:color w:val="000000"/>
          <w:sz w:val="21"/>
          <w:szCs w:val="21"/>
        </w:rPr>
      </w:pPr>
      <w:r>
        <w:rPr>
          <w:color w:val="000000"/>
          <w:sz w:val="21"/>
          <w:szCs w:val="21"/>
          <w:lang w:bidi="ar"/>
        </w:rPr>
        <w:t xml:space="preserve">                                        </w:t>
      </w:r>
      <w:r>
        <w:rPr>
          <w:rFonts w:ascii="仿宋_GB2312" w:eastAsia="仿宋_GB2312" w:cs="仿宋_GB2312" w:hint="eastAsia"/>
          <w:color w:val="000000"/>
          <w:sz w:val="21"/>
          <w:szCs w:val="21"/>
          <w:lang w:bidi="ar"/>
        </w:rPr>
        <w:t>申请时间：</w:t>
      </w:r>
      <w:r>
        <w:rPr>
          <w:rFonts w:ascii="仿宋_GB2312" w:eastAsia="仿宋_GB2312" w:cs="仿宋_GB2312" w:hint="eastAsia"/>
          <w:color w:val="000000"/>
          <w:sz w:val="21"/>
          <w:szCs w:val="21"/>
          <w:lang w:bidi="ar"/>
        </w:rPr>
        <w:t xml:space="preserve">    </w:t>
      </w:r>
      <w:r>
        <w:rPr>
          <w:rFonts w:ascii="仿宋_GB2312" w:eastAsia="仿宋_GB2312" w:cs="仿宋_GB2312" w:hint="eastAsia"/>
          <w:color w:val="000000"/>
          <w:sz w:val="21"/>
          <w:szCs w:val="21"/>
          <w:lang w:bidi="ar"/>
        </w:rPr>
        <w:t>年</w:t>
      </w:r>
      <w:r>
        <w:rPr>
          <w:rFonts w:ascii="仿宋_GB2312" w:eastAsia="仿宋_GB2312" w:cs="仿宋_GB2312" w:hint="eastAsia"/>
          <w:color w:val="000000"/>
          <w:sz w:val="21"/>
          <w:szCs w:val="21"/>
          <w:lang w:bidi="ar"/>
        </w:rPr>
        <w:t xml:space="preserve">    </w:t>
      </w:r>
      <w:r>
        <w:rPr>
          <w:rFonts w:ascii="仿宋_GB2312" w:eastAsia="仿宋_GB2312" w:cs="仿宋_GB2312" w:hint="eastAsia"/>
          <w:color w:val="000000"/>
          <w:sz w:val="21"/>
          <w:szCs w:val="21"/>
          <w:lang w:bidi="ar"/>
        </w:rPr>
        <w:t>月</w:t>
      </w:r>
      <w:r>
        <w:rPr>
          <w:rFonts w:ascii="仿宋_GB2312" w:eastAsia="仿宋_GB2312" w:cs="仿宋_GB2312" w:hint="eastAsia"/>
          <w:color w:val="000000"/>
          <w:sz w:val="21"/>
          <w:szCs w:val="21"/>
          <w:lang w:bidi="ar"/>
        </w:rPr>
        <w:t xml:space="preserve">    </w:t>
      </w:r>
      <w:r>
        <w:rPr>
          <w:rFonts w:ascii="仿宋_GB2312" w:eastAsia="仿宋_GB2312" w:cs="仿宋_GB2312" w:hint="eastAsia"/>
          <w:color w:val="000000"/>
          <w:sz w:val="21"/>
          <w:szCs w:val="21"/>
          <w:lang w:bidi="ar"/>
        </w:rPr>
        <w:t>日</w:t>
      </w:r>
      <w:r>
        <w:rPr>
          <w:rFonts w:ascii="仿宋_GB2312" w:eastAsia="仿宋_GB2312" w:cs="仿宋_GB2312" w:hint="eastAsia"/>
          <w:color w:val="000000"/>
          <w:sz w:val="21"/>
          <w:szCs w:val="21"/>
          <w:lang w:bidi="ar"/>
        </w:rPr>
        <w:t xml:space="preserve">    </w:t>
      </w:r>
      <w:r>
        <w:rPr>
          <w:rFonts w:ascii="仿宋_GB2312" w:eastAsia="仿宋_GB2312" w:cs="仿宋_GB2312" w:hint="eastAsia"/>
          <w:color w:val="000000"/>
          <w:sz w:val="21"/>
          <w:szCs w:val="21"/>
          <w:lang w:bidi="ar"/>
        </w:rPr>
        <w:t>单位：元</w:t>
      </w:r>
    </w:p>
    <w:tbl>
      <w:tblPr>
        <w:tblW w:w="0" w:type="auto"/>
        <w:jc w:val="center"/>
        <w:tblLayout w:type="fixed"/>
        <w:tblLook w:val="04A0" w:firstRow="1" w:lastRow="0" w:firstColumn="1" w:lastColumn="0" w:noHBand="0" w:noVBand="1"/>
      </w:tblPr>
      <w:tblGrid>
        <w:gridCol w:w="5550"/>
        <w:gridCol w:w="4710"/>
      </w:tblGrid>
      <w:tr w:rsidR="0081436D">
        <w:trPr>
          <w:trHeight w:val="613"/>
          <w:jc w:val="center"/>
        </w:trPr>
        <w:tc>
          <w:tcPr>
            <w:tcW w:w="5550" w:type="dxa"/>
            <w:tcBorders>
              <w:top w:val="single" w:sz="4" w:space="0" w:color="auto"/>
              <w:left w:val="single" w:sz="4" w:space="0" w:color="auto"/>
              <w:bottom w:val="single" w:sz="4" w:space="0" w:color="auto"/>
              <w:right w:val="single" w:sz="4" w:space="0" w:color="auto"/>
            </w:tcBorders>
            <w:vAlign w:val="center"/>
          </w:tcPr>
          <w:p w:rsidR="0081436D" w:rsidRDefault="00BD165F">
            <w:pPr>
              <w:rPr>
                <w:rFonts w:ascii="仿宋_GB2312" w:eastAsia="仿宋_GB2312" w:hAnsi="宋体" w:cs="宋体"/>
                <w:color w:val="000000"/>
                <w:sz w:val="28"/>
                <w:szCs w:val="28"/>
              </w:rPr>
            </w:pPr>
            <w:r>
              <w:rPr>
                <w:rFonts w:ascii="仿宋_GB2312" w:eastAsia="仿宋_GB2312" w:hAnsi="宋体" w:cs="宋体" w:hint="eastAsia"/>
                <w:color w:val="000000"/>
                <w:sz w:val="28"/>
                <w:szCs w:val="28"/>
                <w:lang w:bidi="ar"/>
              </w:rPr>
              <w:t>付款户名：</w:t>
            </w:r>
          </w:p>
        </w:tc>
        <w:tc>
          <w:tcPr>
            <w:tcW w:w="4710" w:type="dxa"/>
            <w:tcBorders>
              <w:top w:val="single" w:sz="4" w:space="0" w:color="auto"/>
              <w:left w:val="nil"/>
              <w:bottom w:val="single" w:sz="4" w:space="0" w:color="auto"/>
              <w:right w:val="single" w:sz="4" w:space="0" w:color="auto"/>
            </w:tcBorders>
            <w:vAlign w:val="center"/>
          </w:tcPr>
          <w:p w:rsidR="0081436D" w:rsidRDefault="00BD165F">
            <w:pPr>
              <w:rPr>
                <w:rFonts w:ascii="宋体" w:cs="宋体"/>
                <w:sz w:val="21"/>
                <w:szCs w:val="21"/>
              </w:rPr>
            </w:pPr>
            <w:r>
              <w:rPr>
                <w:rFonts w:ascii="仿宋_GB2312" w:eastAsia="仿宋_GB2312" w:hAnsi="宋体" w:cs="宋体" w:hint="eastAsia"/>
                <w:color w:val="000000"/>
                <w:sz w:val="28"/>
                <w:szCs w:val="28"/>
                <w:lang w:bidi="ar"/>
              </w:rPr>
              <w:t>收款户名：</w:t>
            </w:r>
          </w:p>
        </w:tc>
      </w:tr>
      <w:tr w:rsidR="0081436D">
        <w:trPr>
          <w:trHeight w:val="606"/>
          <w:jc w:val="center"/>
        </w:trPr>
        <w:tc>
          <w:tcPr>
            <w:tcW w:w="5550" w:type="dxa"/>
            <w:tcBorders>
              <w:top w:val="nil"/>
              <w:left w:val="single" w:sz="4" w:space="0" w:color="auto"/>
              <w:bottom w:val="single" w:sz="4" w:space="0" w:color="auto"/>
              <w:right w:val="single" w:sz="4" w:space="0" w:color="auto"/>
            </w:tcBorders>
            <w:vAlign w:val="center"/>
          </w:tcPr>
          <w:p w:rsidR="0081436D" w:rsidRDefault="00BD165F">
            <w:pPr>
              <w:rPr>
                <w:rFonts w:ascii="仿宋_GB2312" w:eastAsia="仿宋_GB2312" w:hAnsi="宋体" w:cs="宋体"/>
                <w:color w:val="000000"/>
                <w:sz w:val="28"/>
                <w:szCs w:val="28"/>
              </w:rPr>
            </w:pPr>
            <w:r>
              <w:rPr>
                <w:rFonts w:ascii="仿宋_GB2312" w:eastAsia="仿宋_GB2312" w:hAnsi="宋体" w:cs="宋体" w:hint="eastAsia"/>
                <w:color w:val="000000"/>
                <w:sz w:val="28"/>
                <w:szCs w:val="28"/>
                <w:lang w:bidi="ar"/>
              </w:rPr>
              <w:t>付款账号：</w:t>
            </w:r>
          </w:p>
        </w:tc>
        <w:tc>
          <w:tcPr>
            <w:tcW w:w="4710" w:type="dxa"/>
            <w:tcBorders>
              <w:top w:val="nil"/>
              <w:left w:val="nil"/>
              <w:bottom w:val="single" w:sz="4" w:space="0" w:color="auto"/>
              <w:right w:val="single" w:sz="4" w:space="0" w:color="auto"/>
            </w:tcBorders>
            <w:vAlign w:val="center"/>
          </w:tcPr>
          <w:p w:rsidR="0081436D" w:rsidRDefault="00BD165F">
            <w:pPr>
              <w:rPr>
                <w:rFonts w:ascii="宋体" w:cs="宋体"/>
                <w:sz w:val="24"/>
                <w:szCs w:val="24"/>
              </w:rPr>
            </w:pPr>
            <w:r>
              <w:rPr>
                <w:rFonts w:ascii="仿宋_GB2312" w:eastAsia="仿宋_GB2312" w:hAnsi="宋体" w:cs="宋体" w:hint="eastAsia"/>
                <w:color w:val="000000"/>
                <w:sz w:val="28"/>
                <w:szCs w:val="28"/>
                <w:lang w:bidi="ar"/>
              </w:rPr>
              <w:t>收款账号：</w:t>
            </w:r>
          </w:p>
        </w:tc>
      </w:tr>
      <w:tr w:rsidR="0081436D">
        <w:trPr>
          <w:trHeight w:val="614"/>
          <w:jc w:val="center"/>
        </w:trPr>
        <w:tc>
          <w:tcPr>
            <w:tcW w:w="5550" w:type="dxa"/>
            <w:tcBorders>
              <w:top w:val="nil"/>
              <w:left w:val="single" w:sz="4" w:space="0" w:color="auto"/>
              <w:bottom w:val="single" w:sz="4" w:space="0" w:color="auto"/>
              <w:right w:val="single" w:sz="4" w:space="0" w:color="auto"/>
            </w:tcBorders>
            <w:vAlign w:val="center"/>
          </w:tcPr>
          <w:p w:rsidR="0081436D" w:rsidRDefault="00BD165F">
            <w:pPr>
              <w:rPr>
                <w:rFonts w:ascii="宋体" w:cs="宋体"/>
                <w:color w:val="000000"/>
                <w:sz w:val="21"/>
                <w:szCs w:val="21"/>
              </w:rPr>
            </w:pPr>
            <w:r>
              <w:rPr>
                <w:rFonts w:ascii="仿宋_GB2312" w:eastAsia="仿宋_GB2312" w:hAnsi="宋体" w:cs="宋体" w:hint="eastAsia"/>
                <w:color w:val="000000"/>
                <w:sz w:val="28"/>
                <w:szCs w:val="28"/>
                <w:lang w:bidi="ar"/>
              </w:rPr>
              <w:t>开户行：</w:t>
            </w:r>
          </w:p>
        </w:tc>
        <w:tc>
          <w:tcPr>
            <w:tcW w:w="4710" w:type="dxa"/>
            <w:tcBorders>
              <w:top w:val="nil"/>
              <w:left w:val="nil"/>
              <w:bottom w:val="single" w:sz="4" w:space="0" w:color="auto"/>
              <w:right w:val="single" w:sz="4" w:space="0" w:color="auto"/>
            </w:tcBorders>
            <w:vAlign w:val="center"/>
          </w:tcPr>
          <w:p w:rsidR="0081436D" w:rsidRDefault="00BD165F">
            <w:pPr>
              <w:rPr>
                <w:rFonts w:ascii="宋体" w:cs="宋体"/>
                <w:color w:val="000000"/>
                <w:sz w:val="21"/>
                <w:szCs w:val="21"/>
              </w:rPr>
            </w:pPr>
            <w:r>
              <w:rPr>
                <w:rFonts w:ascii="仿宋_GB2312" w:eastAsia="仿宋_GB2312" w:hAnsi="宋体" w:cs="宋体" w:hint="eastAsia"/>
                <w:color w:val="000000"/>
                <w:sz w:val="28"/>
                <w:szCs w:val="28"/>
                <w:lang w:bidi="ar"/>
              </w:rPr>
              <w:t>开户行：</w:t>
            </w:r>
          </w:p>
        </w:tc>
      </w:tr>
      <w:tr w:rsidR="0081436D">
        <w:trPr>
          <w:trHeight w:val="622"/>
          <w:jc w:val="center"/>
        </w:trPr>
        <w:tc>
          <w:tcPr>
            <w:tcW w:w="5550" w:type="dxa"/>
            <w:tcBorders>
              <w:top w:val="nil"/>
              <w:left w:val="single" w:sz="4" w:space="0" w:color="auto"/>
              <w:bottom w:val="single" w:sz="4" w:space="0" w:color="auto"/>
              <w:right w:val="single" w:sz="4" w:space="0" w:color="auto"/>
            </w:tcBorders>
            <w:vAlign w:val="center"/>
          </w:tcPr>
          <w:p w:rsidR="0081436D" w:rsidRDefault="00BD165F">
            <w:pPr>
              <w:rPr>
                <w:rFonts w:ascii="仿宋_GB2312" w:eastAsia="仿宋_GB2312" w:hAnsi="宋体" w:cs="宋体"/>
                <w:color w:val="000000"/>
                <w:sz w:val="21"/>
                <w:szCs w:val="21"/>
              </w:rPr>
            </w:pPr>
            <w:r>
              <w:rPr>
                <w:rFonts w:ascii="仿宋_GB2312" w:eastAsia="仿宋_GB2312" w:hAnsi="宋体" w:cs="宋体" w:hint="eastAsia"/>
                <w:color w:val="000000"/>
                <w:sz w:val="28"/>
                <w:szCs w:val="28"/>
                <w:lang w:bidi="ar"/>
              </w:rPr>
              <w:t>大写金额</w:t>
            </w:r>
            <w:r>
              <w:rPr>
                <w:rFonts w:ascii="仿宋_GB2312" w:eastAsia="仿宋_GB2312" w:hAnsi="宋体" w:cs="宋体" w:hint="eastAsia"/>
                <w:color w:val="000000"/>
                <w:sz w:val="21"/>
                <w:szCs w:val="21"/>
                <w:lang w:bidi="ar"/>
              </w:rPr>
              <w:t>：</w:t>
            </w:r>
          </w:p>
        </w:tc>
        <w:tc>
          <w:tcPr>
            <w:tcW w:w="4710" w:type="dxa"/>
            <w:tcBorders>
              <w:top w:val="nil"/>
              <w:left w:val="nil"/>
              <w:bottom w:val="single" w:sz="4" w:space="0" w:color="auto"/>
              <w:right w:val="single" w:sz="4" w:space="0" w:color="auto"/>
            </w:tcBorders>
            <w:vAlign w:val="center"/>
          </w:tcPr>
          <w:p w:rsidR="0081436D" w:rsidRDefault="00BD165F">
            <w:pPr>
              <w:rPr>
                <w:rFonts w:ascii="宋体" w:cs="宋体"/>
                <w:color w:val="000000"/>
                <w:sz w:val="24"/>
                <w:szCs w:val="24"/>
              </w:rPr>
            </w:pPr>
            <w:r>
              <w:rPr>
                <w:rFonts w:ascii="仿宋_GB2312" w:eastAsia="仿宋_GB2312" w:hAnsi="宋体" w:cs="宋体" w:hint="eastAsia"/>
                <w:color w:val="000000"/>
                <w:sz w:val="28"/>
                <w:szCs w:val="28"/>
                <w:lang w:bidi="ar"/>
              </w:rPr>
              <w:t>小写金额：</w:t>
            </w:r>
          </w:p>
        </w:tc>
      </w:tr>
      <w:tr w:rsidR="0081436D">
        <w:trPr>
          <w:trHeight w:val="1235"/>
          <w:jc w:val="center"/>
        </w:trPr>
        <w:tc>
          <w:tcPr>
            <w:tcW w:w="10260" w:type="dxa"/>
            <w:gridSpan w:val="2"/>
            <w:tcBorders>
              <w:top w:val="single" w:sz="4" w:space="0" w:color="auto"/>
              <w:left w:val="single" w:sz="4" w:space="0" w:color="auto"/>
              <w:bottom w:val="single" w:sz="4" w:space="0" w:color="auto"/>
              <w:right w:val="single" w:sz="4" w:space="0" w:color="auto"/>
            </w:tcBorders>
          </w:tcPr>
          <w:p w:rsidR="0081436D" w:rsidRDefault="00BD165F">
            <w:pPr>
              <w:rPr>
                <w:rFonts w:ascii="宋体" w:cs="宋体"/>
                <w:color w:val="000000"/>
                <w:sz w:val="21"/>
                <w:szCs w:val="21"/>
              </w:rPr>
            </w:pPr>
            <w:r>
              <w:rPr>
                <w:rFonts w:ascii="仿宋_GB2312" w:eastAsia="仿宋_GB2312" w:hAnsi="宋体" w:cs="宋体" w:hint="eastAsia"/>
                <w:color w:val="000000"/>
                <w:sz w:val="28"/>
                <w:szCs w:val="28"/>
                <w:lang w:bidi="ar"/>
              </w:rPr>
              <w:t>用途及备注：</w:t>
            </w:r>
          </w:p>
          <w:p w:rsidR="0081436D" w:rsidRDefault="00BD165F">
            <w:pPr>
              <w:rPr>
                <w:rFonts w:ascii="仿宋_GB2312" w:eastAsia="仿宋_GB2312" w:hAnsi="宋体" w:cs="宋体"/>
                <w:color w:val="000000"/>
                <w:sz w:val="28"/>
                <w:szCs w:val="28"/>
              </w:rPr>
            </w:pPr>
            <w:r>
              <w:rPr>
                <w:rFonts w:ascii="仿宋_GB2312" w:eastAsia="仿宋_GB2312" w:cs="仿宋_GB2312" w:hint="eastAsia"/>
                <w:b/>
                <w:sz w:val="21"/>
                <w:szCs w:val="21"/>
                <w:lang w:bidi="ar"/>
              </w:rPr>
              <w:t>本委托人已对此笔划款指令的合</w:t>
            </w:r>
            <w:proofErr w:type="gramStart"/>
            <w:r>
              <w:rPr>
                <w:rFonts w:ascii="仿宋_GB2312" w:eastAsia="仿宋_GB2312" w:cs="仿宋_GB2312" w:hint="eastAsia"/>
                <w:b/>
                <w:sz w:val="21"/>
                <w:szCs w:val="21"/>
                <w:lang w:bidi="ar"/>
              </w:rPr>
              <w:t>规</w:t>
            </w:r>
            <w:proofErr w:type="gramEnd"/>
            <w:r>
              <w:rPr>
                <w:rFonts w:ascii="仿宋_GB2312" w:eastAsia="仿宋_GB2312" w:cs="仿宋_GB2312" w:hint="eastAsia"/>
                <w:b/>
                <w:sz w:val="21"/>
                <w:szCs w:val="21"/>
                <w:lang w:bidi="ar"/>
              </w:rPr>
              <w:t>性、真实性进行了尽职审查，符合本理财产品计划说明书、投资方向等有关约定，请予划款。</w:t>
            </w:r>
          </w:p>
        </w:tc>
      </w:tr>
      <w:tr w:rsidR="0081436D">
        <w:trPr>
          <w:cantSplit/>
          <w:trHeight w:val="2175"/>
          <w:jc w:val="center"/>
        </w:trPr>
        <w:tc>
          <w:tcPr>
            <w:tcW w:w="5550" w:type="dxa"/>
            <w:tcBorders>
              <w:top w:val="single" w:sz="4" w:space="0" w:color="auto"/>
              <w:left w:val="single" w:sz="4" w:space="0" w:color="auto"/>
              <w:bottom w:val="single" w:sz="4" w:space="0" w:color="auto"/>
              <w:right w:val="single" w:sz="4" w:space="0" w:color="auto"/>
            </w:tcBorders>
          </w:tcPr>
          <w:p w:rsidR="0081436D" w:rsidRDefault="00BD165F">
            <w:pPr>
              <w:rPr>
                <w:rFonts w:ascii="仿宋_GB2312" w:eastAsia="仿宋_GB2312" w:hAnsi="宋体" w:cs="宋体"/>
                <w:sz w:val="28"/>
                <w:szCs w:val="28"/>
              </w:rPr>
            </w:pPr>
            <w:r>
              <w:rPr>
                <w:rFonts w:ascii="仿宋_GB2312" w:eastAsia="仿宋_GB2312" w:hAnsi="宋体" w:cs="宋体" w:hint="eastAsia"/>
                <w:sz w:val="28"/>
                <w:szCs w:val="28"/>
                <w:lang w:bidi="ar"/>
              </w:rPr>
              <w:t>管理人：</w:t>
            </w:r>
          </w:p>
          <w:p w:rsidR="0081436D" w:rsidRDefault="00BD165F">
            <w:pPr>
              <w:rPr>
                <w:rFonts w:ascii="仿宋_GB2312" w:eastAsia="仿宋_GB2312" w:hAnsi="宋体" w:cs="宋体"/>
                <w:sz w:val="28"/>
                <w:szCs w:val="28"/>
              </w:rPr>
            </w:pPr>
            <w:r>
              <w:rPr>
                <w:rFonts w:ascii="仿宋_GB2312" w:eastAsia="仿宋_GB2312" w:hAnsi="宋体" w:cs="宋体" w:hint="eastAsia"/>
                <w:sz w:val="28"/>
                <w:szCs w:val="28"/>
                <w:lang w:bidi="ar"/>
              </w:rPr>
              <w:t>经办人：</w:t>
            </w:r>
          </w:p>
          <w:p w:rsidR="0081436D" w:rsidRDefault="00BD165F">
            <w:pPr>
              <w:rPr>
                <w:rFonts w:ascii="仿宋_GB2312" w:eastAsia="仿宋_GB2312" w:hAnsi="宋体" w:cs="宋体"/>
                <w:sz w:val="28"/>
                <w:szCs w:val="28"/>
              </w:rPr>
            </w:pPr>
            <w:r>
              <w:rPr>
                <w:rFonts w:ascii="仿宋_GB2312" w:eastAsia="仿宋_GB2312" w:hAnsi="宋体" w:cs="宋体" w:hint="eastAsia"/>
                <w:sz w:val="28"/>
                <w:szCs w:val="28"/>
                <w:lang w:bidi="ar"/>
              </w:rPr>
              <w:t>复核人：</w:t>
            </w:r>
          </w:p>
          <w:p w:rsidR="0081436D" w:rsidRDefault="00BD165F">
            <w:pPr>
              <w:rPr>
                <w:rFonts w:ascii="仿宋_GB2312" w:eastAsia="仿宋_GB2312" w:hAnsi="宋体" w:cs="宋体"/>
                <w:sz w:val="28"/>
                <w:szCs w:val="28"/>
              </w:rPr>
            </w:pPr>
            <w:r>
              <w:rPr>
                <w:rFonts w:ascii="仿宋_GB2312" w:eastAsia="仿宋_GB2312" w:hAnsi="宋体" w:cs="宋体" w:hint="eastAsia"/>
                <w:sz w:val="28"/>
                <w:szCs w:val="28"/>
                <w:lang w:bidi="ar"/>
              </w:rPr>
              <w:t>审核签发人：</w:t>
            </w:r>
          </w:p>
        </w:tc>
        <w:tc>
          <w:tcPr>
            <w:tcW w:w="4710" w:type="dxa"/>
            <w:tcBorders>
              <w:top w:val="nil"/>
              <w:left w:val="nil"/>
              <w:bottom w:val="single" w:sz="4" w:space="0" w:color="auto"/>
              <w:right w:val="single" w:sz="4" w:space="0" w:color="auto"/>
            </w:tcBorders>
          </w:tcPr>
          <w:p w:rsidR="0081436D" w:rsidRDefault="00BD165F">
            <w:pPr>
              <w:rPr>
                <w:rFonts w:ascii="仿宋_GB2312" w:eastAsia="仿宋_GB2312" w:hAnsi="宋体" w:cs="宋体"/>
                <w:sz w:val="28"/>
                <w:szCs w:val="28"/>
              </w:rPr>
            </w:pPr>
            <w:r>
              <w:rPr>
                <w:rFonts w:ascii="仿宋_GB2312" w:eastAsia="仿宋_GB2312" w:hAnsi="宋体" w:cs="宋体" w:hint="eastAsia"/>
                <w:sz w:val="28"/>
                <w:szCs w:val="28"/>
                <w:lang w:bidi="ar"/>
              </w:rPr>
              <w:t>管理人预留印鉴盖章处：</w:t>
            </w:r>
          </w:p>
        </w:tc>
      </w:tr>
      <w:tr w:rsidR="0081436D">
        <w:trPr>
          <w:trHeight w:val="2165"/>
          <w:jc w:val="center"/>
        </w:trPr>
        <w:tc>
          <w:tcPr>
            <w:tcW w:w="5550" w:type="dxa"/>
            <w:tcBorders>
              <w:top w:val="single" w:sz="4" w:space="0" w:color="auto"/>
              <w:left w:val="single" w:sz="4" w:space="0" w:color="auto"/>
              <w:bottom w:val="single" w:sz="4" w:space="0" w:color="auto"/>
              <w:right w:val="single" w:sz="4" w:space="0" w:color="auto"/>
            </w:tcBorders>
          </w:tcPr>
          <w:p w:rsidR="0081436D" w:rsidRDefault="00BD165F">
            <w:pPr>
              <w:rPr>
                <w:rFonts w:ascii="仿宋_GB2312" w:eastAsia="仿宋_GB2312" w:hAnsi="宋体" w:cs="宋体"/>
                <w:color w:val="000000"/>
                <w:sz w:val="28"/>
                <w:szCs w:val="28"/>
              </w:rPr>
            </w:pPr>
            <w:r>
              <w:rPr>
                <w:rFonts w:ascii="仿宋_GB2312" w:eastAsia="仿宋_GB2312" w:hAnsi="宋体" w:cs="宋体" w:hint="eastAsia"/>
                <w:color w:val="000000"/>
                <w:sz w:val="28"/>
                <w:szCs w:val="28"/>
                <w:lang w:bidi="ar"/>
              </w:rPr>
              <w:t>托管银行</w:t>
            </w:r>
          </w:p>
          <w:p w:rsidR="0081436D" w:rsidRDefault="00BD165F">
            <w:pPr>
              <w:rPr>
                <w:rFonts w:ascii="仿宋_GB2312" w:eastAsia="仿宋_GB2312" w:hAnsi="宋体" w:cs="宋体"/>
                <w:color w:val="000000"/>
                <w:sz w:val="28"/>
                <w:szCs w:val="28"/>
              </w:rPr>
            </w:pPr>
            <w:r>
              <w:rPr>
                <w:rFonts w:ascii="仿宋_GB2312" w:eastAsia="仿宋_GB2312" w:hAnsi="宋体" w:cs="宋体" w:hint="eastAsia"/>
                <w:color w:val="000000"/>
                <w:sz w:val="28"/>
                <w:szCs w:val="28"/>
                <w:lang w:bidi="ar"/>
              </w:rPr>
              <w:t>经办人：</w:t>
            </w:r>
          </w:p>
          <w:p w:rsidR="0081436D" w:rsidRDefault="00BD165F">
            <w:pPr>
              <w:rPr>
                <w:rFonts w:ascii="仿宋_GB2312" w:eastAsia="仿宋_GB2312" w:hAnsi="宋体" w:cs="宋体"/>
                <w:color w:val="000000"/>
                <w:sz w:val="28"/>
                <w:szCs w:val="28"/>
              </w:rPr>
            </w:pPr>
            <w:r>
              <w:rPr>
                <w:rFonts w:ascii="仿宋_GB2312" w:eastAsia="仿宋_GB2312" w:hAnsi="宋体" w:cs="宋体" w:hint="eastAsia"/>
                <w:color w:val="000000"/>
                <w:sz w:val="28"/>
                <w:szCs w:val="28"/>
                <w:lang w:bidi="ar"/>
              </w:rPr>
              <w:t>复核人：</w:t>
            </w:r>
          </w:p>
          <w:p w:rsidR="0081436D" w:rsidRDefault="00BD165F">
            <w:pPr>
              <w:rPr>
                <w:rFonts w:ascii="仿宋_GB2312" w:eastAsia="仿宋_GB2312" w:hAnsi="宋体" w:cs="宋体"/>
                <w:color w:val="000000"/>
                <w:sz w:val="28"/>
                <w:szCs w:val="28"/>
              </w:rPr>
            </w:pPr>
            <w:r>
              <w:rPr>
                <w:rFonts w:ascii="仿宋_GB2312" w:eastAsia="仿宋_GB2312" w:hAnsi="宋体" w:cs="宋体" w:hint="eastAsia"/>
                <w:color w:val="000000"/>
                <w:sz w:val="28"/>
                <w:szCs w:val="28"/>
                <w:lang w:bidi="ar"/>
              </w:rPr>
              <w:t>划款执行人：</w:t>
            </w:r>
          </w:p>
        </w:tc>
        <w:tc>
          <w:tcPr>
            <w:tcW w:w="4710" w:type="dxa"/>
            <w:tcBorders>
              <w:top w:val="nil"/>
              <w:left w:val="nil"/>
              <w:bottom w:val="single" w:sz="4" w:space="0" w:color="auto"/>
              <w:right w:val="single" w:sz="4" w:space="0" w:color="auto"/>
            </w:tcBorders>
          </w:tcPr>
          <w:p w:rsidR="0081436D" w:rsidRDefault="00BD165F">
            <w:pPr>
              <w:rPr>
                <w:rFonts w:ascii="仿宋_GB2312" w:eastAsia="仿宋_GB2312" w:hAnsi="宋体" w:cs="宋体"/>
                <w:sz w:val="28"/>
                <w:szCs w:val="28"/>
              </w:rPr>
            </w:pPr>
            <w:r>
              <w:rPr>
                <w:rFonts w:ascii="仿宋_GB2312" w:eastAsia="仿宋_GB2312" w:hAnsi="宋体" w:cs="宋体" w:hint="eastAsia"/>
                <w:sz w:val="28"/>
                <w:szCs w:val="28"/>
                <w:lang w:bidi="ar"/>
              </w:rPr>
              <w:t>托管银行确认专户划款指令已经执行。签章：</w:t>
            </w:r>
          </w:p>
        </w:tc>
      </w:tr>
    </w:tbl>
    <w:p w:rsidR="0081436D" w:rsidRDefault="00BD165F">
      <w:pPr>
        <w:spacing w:line="360" w:lineRule="auto"/>
        <w:rPr>
          <w:rFonts w:ascii="仿宋_GB2312" w:eastAsia="仿宋_GB2312" w:cs="仿宋_GB2312"/>
          <w:color w:val="000000"/>
          <w:sz w:val="21"/>
          <w:szCs w:val="21"/>
        </w:rPr>
      </w:pPr>
      <w:r>
        <w:rPr>
          <w:rFonts w:ascii="仿宋_GB2312" w:eastAsia="仿宋_GB2312" w:cs="仿宋_GB2312" w:hint="eastAsia"/>
          <w:color w:val="000000"/>
          <w:sz w:val="21"/>
          <w:szCs w:val="21"/>
          <w:lang w:bidi="ar"/>
        </w:rPr>
        <w:t>重要提示：接此指令后，经审核无误应按照指令条款进行划款。</w:t>
      </w:r>
    </w:p>
    <w:p w:rsidR="0081436D" w:rsidRDefault="00BD165F">
      <w:pPr>
        <w:pStyle w:val="af"/>
        <w:spacing w:before="0" w:beforeAutospacing="0" w:after="0" w:afterAutospacing="0" w:line="360" w:lineRule="auto"/>
        <w:jc w:val="center"/>
        <w:outlineLvl w:val="1"/>
        <w:rPr>
          <w:rFonts w:ascii="宋体" w:hAnsi="宋体" w:cs="宋体"/>
          <w:b/>
          <w:color w:val="000000"/>
          <w:sz w:val="21"/>
          <w:szCs w:val="21"/>
        </w:rPr>
      </w:pPr>
      <w:r>
        <w:rPr>
          <w:rFonts w:ascii="宋体" w:hAnsi="宋体" w:cs="宋体" w:hint="eastAsia"/>
          <w:b/>
          <w:color w:val="000000"/>
          <w:sz w:val="21"/>
          <w:szCs w:val="21"/>
          <w:lang w:bidi="ar"/>
        </w:rPr>
        <w:t xml:space="preserve"> </w:t>
      </w:r>
    </w:p>
    <w:p w:rsidR="0081436D" w:rsidRDefault="00BD165F">
      <w:pPr>
        <w:rPr>
          <w:color w:val="000000"/>
          <w:sz w:val="21"/>
          <w:szCs w:val="21"/>
        </w:rPr>
      </w:pPr>
      <w:r>
        <w:rPr>
          <w:color w:val="000000"/>
          <w:sz w:val="21"/>
          <w:szCs w:val="21"/>
          <w:lang w:bidi="ar"/>
        </w:rPr>
        <w:t xml:space="preserve"> </w:t>
      </w:r>
    </w:p>
    <w:p w:rsidR="0081436D" w:rsidRDefault="00BD165F">
      <w:pPr>
        <w:pStyle w:val="af"/>
        <w:spacing w:before="0" w:beforeAutospacing="0" w:after="0" w:afterAutospacing="0" w:line="360" w:lineRule="auto"/>
        <w:jc w:val="center"/>
        <w:outlineLvl w:val="1"/>
        <w:rPr>
          <w:rFonts w:ascii="宋体" w:hAnsi="宋体" w:cs="宋体"/>
          <w:b/>
          <w:color w:val="000000"/>
          <w:sz w:val="21"/>
          <w:szCs w:val="21"/>
        </w:rPr>
      </w:pPr>
      <w:r>
        <w:rPr>
          <w:rFonts w:ascii="宋体" w:hAnsi="宋体" w:cs="宋体" w:hint="eastAsia"/>
          <w:b/>
          <w:color w:val="000000"/>
          <w:sz w:val="21"/>
          <w:szCs w:val="21"/>
          <w:lang w:bidi="ar"/>
        </w:rPr>
        <w:t xml:space="preserve"> </w:t>
      </w:r>
    </w:p>
    <w:p w:rsidR="0081436D" w:rsidRDefault="00BD165F">
      <w:pPr>
        <w:rPr>
          <w:sz w:val="24"/>
          <w:szCs w:val="24"/>
          <w:lang w:bidi="ar"/>
        </w:rPr>
      </w:pPr>
      <w:r>
        <w:rPr>
          <w:sz w:val="24"/>
          <w:szCs w:val="24"/>
          <w:lang w:bidi="ar"/>
        </w:rPr>
        <w:t xml:space="preserve"> </w:t>
      </w:r>
    </w:p>
    <w:p w:rsidR="0081436D" w:rsidRDefault="0081436D">
      <w:pPr>
        <w:pStyle w:val="10"/>
        <w:ind w:left="400"/>
      </w:pPr>
    </w:p>
    <w:tbl>
      <w:tblPr>
        <w:tblW w:w="0" w:type="auto"/>
        <w:tblInd w:w="93" w:type="dxa"/>
        <w:tblLayout w:type="fixed"/>
        <w:tblCellMar>
          <w:left w:w="0" w:type="dxa"/>
          <w:right w:w="0" w:type="dxa"/>
        </w:tblCellMar>
        <w:tblLook w:val="04A0" w:firstRow="1" w:lastRow="0" w:firstColumn="1" w:lastColumn="0" w:noHBand="0" w:noVBand="1"/>
      </w:tblPr>
      <w:tblGrid>
        <w:gridCol w:w="2021"/>
        <w:gridCol w:w="2502"/>
        <w:gridCol w:w="3690"/>
        <w:gridCol w:w="123"/>
      </w:tblGrid>
      <w:tr w:rsidR="0081436D">
        <w:trPr>
          <w:trHeight w:val="679"/>
        </w:trPr>
        <w:tc>
          <w:tcPr>
            <w:tcW w:w="8336"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436D" w:rsidRDefault="00BD165F">
            <w:pPr>
              <w:jc w:val="center"/>
              <w:rPr>
                <w:rFonts w:ascii="仿宋_GB2312" w:eastAsia="仿宋_GB2312" w:cs="仿宋_GB2312"/>
                <w:color w:val="000000"/>
                <w:sz w:val="22"/>
                <w:szCs w:val="22"/>
              </w:rPr>
            </w:pPr>
            <w:r>
              <w:rPr>
                <w:rFonts w:ascii="仿宋_GB2312" w:eastAsia="仿宋_GB2312" w:cs="仿宋_GB2312" w:hint="eastAsia"/>
                <w:color w:val="000000"/>
                <w:sz w:val="22"/>
                <w:szCs w:val="22"/>
                <w:lang w:bidi="ar"/>
              </w:rPr>
              <w:t>光大银行理财资金运用划款指令</w:t>
            </w:r>
          </w:p>
        </w:tc>
      </w:tr>
      <w:tr w:rsidR="0081436D">
        <w:trPr>
          <w:trHeight w:val="600"/>
        </w:trPr>
        <w:tc>
          <w:tcPr>
            <w:tcW w:w="20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436D" w:rsidRDefault="00BD165F">
            <w:pPr>
              <w:rPr>
                <w:rFonts w:ascii="仿宋_GB2312" w:eastAsia="仿宋_GB2312" w:cs="仿宋_GB2312"/>
                <w:color w:val="000000"/>
                <w:sz w:val="22"/>
                <w:szCs w:val="22"/>
              </w:rPr>
            </w:pPr>
            <w:r>
              <w:rPr>
                <w:rFonts w:ascii="仿宋_GB2312" w:eastAsia="仿宋_GB2312" w:cs="仿宋_GB2312" w:hint="eastAsia"/>
                <w:color w:val="000000"/>
                <w:sz w:val="22"/>
                <w:szCs w:val="22"/>
                <w:lang w:bidi="ar"/>
              </w:rPr>
              <w:t>日期：</w:t>
            </w:r>
          </w:p>
        </w:tc>
        <w:tc>
          <w:tcPr>
            <w:tcW w:w="2502"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81436D" w:rsidRDefault="0081436D">
            <w:pPr>
              <w:rPr>
                <w:rFonts w:ascii="仿宋_GB2312" w:eastAsia="仿宋_GB2312" w:cs="仿宋_GB2312"/>
                <w:color w:val="000000"/>
                <w:sz w:val="22"/>
                <w:szCs w:val="22"/>
              </w:rPr>
            </w:pPr>
          </w:p>
        </w:tc>
        <w:tc>
          <w:tcPr>
            <w:tcW w:w="3690"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81436D" w:rsidRDefault="00BD165F">
            <w:pPr>
              <w:rPr>
                <w:rFonts w:ascii="仿宋_GB2312" w:eastAsia="仿宋_GB2312" w:cs="仿宋_GB2312"/>
                <w:color w:val="000000"/>
                <w:sz w:val="22"/>
                <w:szCs w:val="22"/>
              </w:rPr>
            </w:pPr>
            <w:r>
              <w:rPr>
                <w:rFonts w:ascii="仿宋_GB2312" w:eastAsia="仿宋_GB2312" w:cs="仿宋_GB2312" w:hint="eastAsia"/>
                <w:color w:val="000000"/>
                <w:sz w:val="22"/>
                <w:szCs w:val="22"/>
                <w:lang w:bidi="ar"/>
              </w:rPr>
              <w:t>编号：</w:t>
            </w:r>
          </w:p>
        </w:tc>
        <w:tc>
          <w:tcPr>
            <w:tcW w:w="123"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81436D" w:rsidRDefault="0081436D">
            <w:pPr>
              <w:rPr>
                <w:rFonts w:ascii="仿宋_GB2312" w:eastAsia="仿宋_GB2312" w:cs="仿宋_GB2312"/>
                <w:color w:val="000000"/>
                <w:sz w:val="22"/>
                <w:szCs w:val="22"/>
              </w:rPr>
            </w:pPr>
          </w:p>
        </w:tc>
      </w:tr>
      <w:tr w:rsidR="0081436D">
        <w:trPr>
          <w:trHeight w:val="619"/>
        </w:trPr>
        <w:tc>
          <w:tcPr>
            <w:tcW w:w="20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436D" w:rsidRDefault="00BD165F">
            <w:pPr>
              <w:rPr>
                <w:rFonts w:ascii="仿宋_GB2312" w:eastAsia="仿宋_GB2312" w:cs="仿宋_GB2312"/>
                <w:color w:val="000000"/>
                <w:sz w:val="22"/>
                <w:szCs w:val="22"/>
              </w:rPr>
            </w:pPr>
            <w:r>
              <w:rPr>
                <w:rFonts w:ascii="仿宋_GB2312" w:eastAsia="仿宋_GB2312" w:cs="仿宋_GB2312" w:hint="eastAsia"/>
                <w:color w:val="000000"/>
                <w:sz w:val="22"/>
                <w:szCs w:val="22"/>
                <w:lang w:bidi="ar"/>
              </w:rPr>
              <w:t>付款户名：</w:t>
            </w:r>
          </w:p>
        </w:tc>
        <w:tc>
          <w:tcPr>
            <w:tcW w:w="2502"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81436D" w:rsidRDefault="0081436D">
            <w:pPr>
              <w:rPr>
                <w:rFonts w:ascii="仿宋_GB2312" w:eastAsia="仿宋_GB2312" w:cs="仿宋_GB2312"/>
                <w:color w:val="000000"/>
                <w:sz w:val="22"/>
                <w:szCs w:val="22"/>
              </w:rPr>
            </w:pPr>
          </w:p>
        </w:tc>
        <w:tc>
          <w:tcPr>
            <w:tcW w:w="3690"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81436D" w:rsidRDefault="00BD165F">
            <w:pPr>
              <w:rPr>
                <w:rFonts w:ascii="仿宋_GB2312" w:eastAsia="仿宋_GB2312" w:cs="仿宋_GB2312"/>
                <w:color w:val="000000"/>
                <w:sz w:val="22"/>
                <w:szCs w:val="22"/>
              </w:rPr>
            </w:pPr>
            <w:r>
              <w:rPr>
                <w:rFonts w:ascii="仿宋_GB2312" w:eastAsia="仿宋_GB2312" w:cs="仿宋_GB2312" w:hint="eastAsia"/>
                <w:color w:val="000000"/>
                <w:sz w:val="22"/>
                <w:szCs w:val="22"/>
                <w:lang w:bidi="ar"/>
              </w:rPr>
              <w:t>收款户名：</w:t>
            </w:r>
          </w:p>
        </w:tc>
        <w:tc>
          <w:tcPr>
            <w:tcW w:w="123"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81436D" w:rsidRDefault="0081436D">
            <w:pPr>
              <w:rPr>
                <w:rFonts w:ascii="仿宋_GB2312" w:eastAsia="仿宋_GB2312" w:cs="仿宋_GB2312"/>
                <w:color w:val="000000"/>
                <w:sz w:val="22"/>
                <w:szCs w:val="22"/>
              </w:rPr>
            </w:pPr>
          </w:p>
        </w:tc>
      </w:tr>
      <w:tr w:rsidR="0081436D">
        <w:trPr>
          <w:trHeight w:val="619"/>
        </w:trPr>
        <w:tc>
          <w:tcPr>
            <w:tcW w:w="20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436D" w:rsidRDefault="00BD165F">
            <w:pPr>
              <w:rPr>
                <w:rFonts w:ascii="仿宋_GB2312" w:eastAsia="仿宋_GB2312" w:cs="仿宋_GB2312"/>
                <w:color w:val="000000"/>
                <w:sz w:val="22"/>
                <w:szCs w:val="22"/>
              </w:rPr>
            </w:pPr>
            <w:r>
              <w:rPr>
                <w:rFonts w:ascii="仿宋_GB2312" w:eastAsia="仿宋_GB2312" w:cs="仿宋_GB2312" w:hint="eastAsia"/>
                <w:color w:val="000000"/>
                <w:sz w:val="22"/>
                <w:szCs w:val="22"/>
                <w:lang w:bidi="ar"/>
              </w:rPr>
              <w:t>付款账号：</w:t>
            </w:r>
          </w:p>
        </w:tc>
        <w:tc>
          <w:tcPr>
            <w:tcW w:w="2502"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81436D" w:rsidRDefault="0081436D">
            <w:pPr>
              <w:rPr>
                <w:rFonts w:ascii="仿宋_GB2312" w:eastAsia="仿宋_GB2312" w:cs="仿宋_GB2312"/>
                <w:color w:val="000000"/>
                <w:sz w:val="22"/>
                <w:szCs w:val="22"/>
              </w:rPr>
            </w:pPr>
          </w:p>
        </w:tc>
        <w:tc>
          <w:tcPr>
            <w:tcW w:w="3690"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81436D" w:rsidRDefault="00BD165F">
            <w:pPr>
              <w:rPr>
                <w:rFonts w:ascii="仿宋_GB2312" w:eastAsia="仿宋_GB2312" w:cs="仿宋_GB2312"/>
                <w:color w:val="000000"/>
                <w:sz w:val="22"/>
                <w:szCs w:val="22"/>
              </w:rPr>
            </w:pPr>
            <w:r>
              <w:rPr>
                <w:rFonts w:ascii="仿宋_GB2312" w:eastAsia="仿宋_GB2312" w:cs="仿宋_GB2312" w:hint="eastAsia"/>
                <w:color w:val="000000"/>
                <w:sz w:val="22"/>
                <w:szCs w:val="22"/>
                <w:lang w:bidi="ar"/>
              </w:rPr>
              <w:t>收款账号：</w:t>
            </w:r>
          </w:p>
        </w:tc>
        <w:tc>
          <w:tcPr>
            <w:tcW w:w="123"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81436D" w:rsidRDefault="0081436D">
            <w:pPr>
              <w:rPr>
                <w:rFonts w:ascii="仿宋_GB2312" w:eastAsia="仿宋_GB2312" w:cs="仿宋_GB2312"/>
                <w:color w:val="000000"/>
                <w:sz w:val="22"/>
                <w:szCs w:val="22"/>
              </w:rPr>
            </w:pPr>
          </w:p>
        </w:tc>
      </w:tr>
      <w:tr w:rsidR="0081436D">
        <w:trPr>
          <w:trHeight w:val="600"/>
        </w:trPr>
        <w:tc>
          <w:tcPr>
            <w:tcW w:w="20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436D" w:rsidRDefault="00BD165F">
            <w:pPr>
              <w:rPr>
                <w:rFonts w:ascii="仿宋_GB2312" w:eastAsia="仿宋_GB2312" w:cs="仿宋_GB2312"/>
                <w:color w:val="000000"/>
                <w:sz w:val="22"/>
                <w:szCs w:val="22"/>
              </w:rPr>
            </w:pPr>
            <w:r>
              <w:rPr>
                <w:rFonts w:ascii="仿宋_GB2312" w:eastAsia="仿宋_GB2312" w:cs="仿宋_GB2312" w:hint="eastAsia"/>
                <w:color w:val="000000"/>
                <w:sz w:val="22"/>
                <w:szCs w:val="22"/>
                <w:lang w:bidi="ar"/>
              </w:rPr>
              <w:t>开户行：</w:t>
            </w:r>
          </w:p>
        </w:tc>
        <w:tc>
          <w:tcPr>
            <w:tcW w:w="2502"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81436D" w:rsidRDefault="0081436D">
            <w:pPr>
              <w:rPr>
                <w:rFonts w:ascii="仿宋_GB2312" w:eastAsia="仿宋_GB2312" w:cs="仿宋_GB2312"/>
                <w:color w:val="000000"/>
                <w:sz w:val="22"/>
                <w:szCs w:val="22"/>
              </w:rPr>
            </w:pPr>
          </w:p>
        </w:tc>
        <w:tc>
          <w:tcPr>
            <w:tcW w:w="3690"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81436D" w:rsidRDefault="00BD165F">
            <w:pPr>
              <w:rPr>
                <w:rFonts w:ascii="仿宋_GB2312" w:eastAsia="仿宋_GB2312" w:cs="仿宋_GB2312"/>
                <w:color w:val="000000"/>
                <w:sz w:val="22"/>
                <w:szCs w:val="22"/>
              </w:rPr>
            </w:pPr>
            <w:r>
              <w:rPr>
                <w:rFonts w:ascii="仿宋_GB2312" w:eastAsia="仿宋_GB2312" w:cs="仿宋_GB2312" w:hint="eastAsia"/>
                <w:color w:val="000000"/>
                <w:sz w:val="22"/>
                <w:szCs w:val="22"/>
                <w:lang w:bidi="ar"/>
              </w:rPr>
              <w:t>开户行：</w:t>
            </w:r>
          </w:p>
        </w:tc>
        <w:tc>
          <w:tcPr>
            <w:tcW w:w="123"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81436D" w:rsidRDefault="0081436D">
            <w:pPr>
              <w:rPr>
                <w:rFonts w:ascii="仿宋_GB2312" w:eastAsia="仿宋_GB2312" w:cs="仿宋_GB2312"/>
                <w:color w:val="000000"/>
                <w:sz w:val="22"/>
                <w:szCs w:val="22"/>
              </w:rPr>
            </w:pPr>
          </w:p>
        </w:tc>
      </w:tr>
      <w:tr w:rsidR="0081436D">
        <w:trPr>
          <w:trHeight w:val="619"/>
        </w:trPr>
        <w:tc>
          <w:tcPr>
            <w:tcW w:w="20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436D" w:rsidRDefault="00BD165F">
            <w:pPr>
              <w:rPr>
                <w:rFonts w:ascii="仿宋_GB2312" w:eastAsia="仿宋_GB2312" w:cs="仿宋_GB2312"/>
                <w:color w:val="000000"/>
                <w:sz w:val="22"/>
                <w:szCs w:val="22"/>
              </w:rPr>
            </w:pPr>
            <w:r>
              <w:rPr>
                <w:rFonts w:ascii="仿宋_GB2312" w:eastAsia="仿宋_GB2312" w:cs="仿宋_GB2312" w:hint="eastAsia"/>
                <w:color w:val="000000"/>
                <w:sz w:val="22"/>
                <w:szCs w:val="22"/>
                <w:lang w:bidi="ar"/>
              </w:rPr>
              <w:t>大写金额：</w:t>
            </w:r>
          </w:p>
        </w:tc>
        <w:tc>
          <w:tcPr>
            <w:tcW w:w="2502"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81436D" w:rsidRDefault="0081436D">
            <w:pPr>
              <w:rPr>
                <w:rFonts w:ascii="仿宋_GB2312" w:eastAsia="仿宋_GB2312" w:cs="仿宋_GB2312"/>
                <w:color w:val="000000"/>
                <w:sz w:val="22"/>
                <w:szCs w:val="22"/>
              </w:rPr>
            </w:pPr>
          </w:p>
        </w:tc>
        <w:tc>
          <w:tcPr>
            <w:tcW w:w="3690"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81436D" w:rsidRDefault="00BD165F">
            <w:pPr>
              <w:rPr>
                <w:rFonts w:ascii="仿宋_GB2312" w:eastAsia="仿宋_GB2312" w:cs="仿宋_GB2312"/>
                <w:color w:val="000000"/>
                <w:sz w:val="22"/>
                <w:szCs w:val="22"/>
              </w:rPr>
            </w:pPr>
            <w:r>
              <w:rPr>
                <w:rFonts w:ascii="仿宋_GB2312" w:eastAsia="仿宋_GB2312" w:cs="仿宋_GB2312" w:hint="eastAsia"/>
                <w:color w:val="000000"/>
                <w:sz w:val="22"/>
                <w:szCs w:val="22"/>
                <w:lang w:bidi="ar"/>
              </w:rPr>
              <w:t>小写金额：</w:t>
            </w:r>
          </w:p>
        </w:tc>
        <w:tc>
          <w:tcPr>
            <w:tcW w:w="123"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81436D" w:rsidRDefault="0081436D">
            <w:pPr>
              <w:rPr>
                <w:rFonts w:ascii="仿宋_GB2312" w:eastAsia="仿宋_GB2312" w:cs="仿宋_GB2312"/>
                <w:color w:val="000000"/>
                <w:sz w:val="22"/>
                <w:szCs w:val="22"/>
              </w:rPr>
            </w:pPr>
          </w:p>
        </w:tc>
      </w:tr>
      <w:tr w:rsidR="0081436D">
        <w:trPr>
          <w:trHeight w:val="619"/>
        </w:trPr>
        <w:tc>
          <w:tcPr>
            <w:tcW w:w="20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436D" w:rsidRDefault="00BD165F">
            <w:pPr>
              <w:rPr>
                <w:rFonts w:ascii="仿宋_GB2312" w:eastAsia="仿宋_GB2312" w:cs="仿宋_GB2312"/>
                <w:color w:val="000000"/>
                <w:sz w:val="22"/>
                <w:szCs w:val="22"/>
              </w:rPr>
            </w:pPr>
            <w:r>
              <w:rPr>
                <w:rFonts w:ascii="仿宋_GB2312" w:eastAsia="仿宋_GB2312" w:cs="仿宋_GB2312" w:hint="eastAsia"/>
                <w:color w:val="000000"/>
                <w:sz w:val="22"/>
                <w:szCs w:val="22"/>
                <w:lang w:bidi="ar"/>
              </w:rPr>
              <w:t>用途及备注：</w:t>
            </w:r>
          </w:p>
        </w:tc>
        <w:tc>
          <w:tcPr>
            <w:tcW w:w="6315" w:type="dxa"/>
            <w:gridSpan w:val="3"/>
            <w:tcBorders>
              <w:top w:val="single" w:sz="4" w:space="0" w:color="000000"/>
              <w:left w:val="nil"/>
              <w:bottom w:val="single" w:sz="4" w:space="0" w:color="000000"/>
              <w:right w:val="single" w:sz="4" w:space="0" w:color="000000"/>
            </w:tcBorders>
            <w:tcMar>
              <w:top w:w="15" w:type="dxa"/>
              <w:left w:w="15" w:type="dxa"/>
              <w:right w:w="15" w:type="dxa"/>
            </w:tcMar>
            <w:vAlign w:val="center"/>
          </w:tcPr>
          <w:p w:rsidR="0081436D" w:rsidRDefault="0081436D">
            <w:pPr>
              <w:rPr>
                <w:rFonts w:ascii="仿宋_GB2312" w:eastAsia="仿宋_GB2312" w:cs="仿宋_GB2312"/>
                <w:color w:val="000000"/>
                <w:sz w:val="22"/>
                <w:szCs w:val="22"/>
              </w:rPr>
            </w:pPr>
          </w:p>
        </w:tc>
      </w:tr>
      <w:tr w:rsidR="0081436D">
        <w:trPr>
          <w:trHeight w:val="619"/>
        </w:trPr>
        <w:tc>
          <w:tcPr>
            <w:tcW w:w="452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436D" w:rsidRDefault="00BD165F">
            <w:pPr>
              <w:rPr>
                <w:rFonts w:ascii="仿宋_GB2312" w:eastAsia="仿宋_GB2312" w:cs="仿宋_GB2312"/>
                <w:color w:val="000000"/>
                <w:sz w:val="22"/>
                <w:szCs w:val="22"/>
              </w:rPr>
            </w:pPr>
            <w:r>
              <w:rPr>
                <w:rFonts w:ascii="仿宋_GB2312" w:eastAsia="仿宋_GB2312" w:cs="仿宋_GB2312" w:hint="eastAsia"/>
                <w:color w:val="000000"/>
                <w:sz w:val="22"/>
                <w:szCs w:val="22"/>
                <w:lang w:bidi="ar"/>
              </w:rPr>
              <w:t>委托银行（管理人）</w:t>
            </w:r>
          </w:p>
        </w:tc>
        <w:tc>
          <w:tcPr>
            <w:tcW w:w="3813" w:type="dxa"/>
            <w:gridSpan w:val="2"/>
            <w:tcBorders>
              <w:top w:val="single" w:sz="4" w:space="0" w:color="000000"/>
              <w:left w:val="nil"/>
              <w:bottom w:val="single" w:sz="4" w:space="0" w:color="000000"/>
              <w:right w:val="single" w:sz="4" w:space="0" w:color="000000"/>
            </w:tcBorders>
            <w:tcMar>
              <w:top w:w="15" w:type="dxa"/>
              <w:left w:w="15" w:type="dxa"/>
              <w:right w:w="15" w:type="dxa"/>
            </w:tcMar>
            <w:vAlign w:val="center"/>
          </w:tcPr>
          <w:p w:rsidR="0081436D" w:rsidRDefault="00BD165F">
            <w:pPr>
              <w:rPr>
                <w:rFonts w:ascii="仿宋_GB2312" w:eastAsia="仿宋_GB2312" w:cs="仿宋_GB2312"/>
                <w:color w:val="000000"/>
                <w:sz w:val="22"/>
                <w:szCs w:val="22"/>
              </w:rPr>
            </w:pPr>
            <w:r>
              <w:rPr>
                <w:rFonts w:ascii="仿宋_GB2312" w:eastAsia="仿宋_GB2312" w:cs="仿宋_GB2312" w:hint="eastAsia"/>
                <w:color w:val="000000"/>
                <w:sz w:val="22"/>
                <w:szCs w:val="22"/>
                <w:lang w:bidi="ar"/>
              </w:rPr>
              <w:t>委托银行（管理人）</w:t>
            </w:r>
          </w:p>
        </w:tc>
      </w:tr>
      <w:tr w:rsidR="0081436D">
        <w:trPr>
          <w:trHeight w:val="600"/>
        </w:trPr>
        <w:tc>
          <w:tcPr>
            <w:tcW w:w="20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436D" w:rsidRDefault="00BD165F">
            <w:pPr>
              <w:rPr>
                <w:rFonts w:ascii="仿宋_GB2312" w:eastAsia="仿宋_GB2312" w:cs="仿宋_GB2312"/>
                <w:color w:val="000000"/>
                <w:sz w:val="22"/>
                <w:szCs w:val="22"/>
              </w:rPr>
            </w:pPr>
            <w:r>
              <w:rPr>
                <w:rFonts w:ascii="仿宋_GB2312" w:eastAsia="仿宋_GB2312" w:cs="仿宋_GB2312" w:hint="eastAsia"/>
                <w:color w:val="000000"/>
                <w:sz w:val="22"/>
                <w:szCs w:val="22"/>
                <w:lang w:bidi="ar"/>
              </w:rPr>
              <w:t>经办人：</w:t>
            </w:r>
          </w:p>
        </w:tc>
        <w:tc>
          <w:tcPr>
            <w:tcW w:w="2502"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81436D" w:rsidRDefault="0081436D">
            <w:pPr>
              <w:rPr>
                <w:rFonts w:ascii="仿宋_GB2312" w:eastAsia="仿宋_GB2312" w:cs="仿宋_GB2312"/>
                <w:color w:val="000000"/>
                <w:sz w:val="22"/>
                <w:szCs w:val="22"/>
              </w:rPr>
            </w:pPr>
          </w:p>
        </w:tc>
        <w:tc>
          <w:tcPr>
            <w:tcW w:w="3813" w:type="dxa"/>
            <w:gridSpan w:val="2"/>
            <w:vMerge w:val="restart"/>
            <w:tcBorders>
              <w:top w:val="single" w:sz="4" w:space="0" w:color="000000"/>
              <w:left w:val="nil"/>
              <w:bottom w:val="single" w:sz="4" w:space="0" w:color="000000"/>
              <w:right w:val="single" w:sz="4" w:space="0" w:color="000000"/>
            </w:tcBorders>
            <w:tcMar>
              <w:top w:w="15" w:type="dxa"/>
              <w:left w:w="15" w:type="dxa"/>
              <w:right w:w="15" w:type="dxa"/>
            </w:tcMar>
          </w:tcPr>
          <w:p w:rsidR="0081436D" w:rsidRDefault="00BD165F">
            <w:pPr>
              <w:rPr>
                <w:rFonts w:ascii="仿宋_GB2312" w:eastAsia="仿宋_GB2312" w:cs="仿宋_GB2312"/>
                <w:color w:val="000000"/>
                <w:sz w:val="22"/>
                <w:szCs w:val="22"/>
              </w:rPr>
            </w:pPr>
            <w:r>
              <w:rPr>
                <w:rFonts w:ascii="仿宋_GB2312" w:eastAsia="仿宋_GB2312" w:cs="仿宋_GB2312" w:hint="eastAsia"/>
                <w:color w:val="000000"/>
                <w:sz w:val="22"/>
                <w:szCs w:val="22"/>
                <w:lang w:bidi="ar"/>
              </w:rPr>
              <w:t>预留印盖章处：</w:t>
            </w:r>
          </w:p>
        </w:tc>
      </w:tr>
      <w:tr w:rsidR="0081436D">
        <w:trPr>
          <w:trHeight w:val="619"/>
        </w:trPr>
        <w:tc>
          <w:tcPr>
            <w:tcW w:w="20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436D" w:rsidRDefault="00BD165F">
            <w:pPr>
              <w:rPr>
                <w:rFonts w:ascii="仿宋_GB2312" w:eastAsia="仿宋_GB2312" w:cs="仿宋_GB2312"/>
                <w:color w:val="000000"/>
                <w:sz w:val="22"/>
                <w:szCs w:val="22"/>
              </w:rPr>
            </w:pPr>
            <w:r>
              <w:rPr>
                <w:rFonts w:ascii="仿宋_GB2312" w:eastAsia="仿宋_GB2312" w:cs="仿宋_GB2312" w:hint="eastAsia"/>
                <w:color w:val="000000"/>
                <w:sz w:val="22"/>
                <w:szCs w:val="22"/>
                <w:lang w:bidi="ar"/>
              </w:rPr>
              <w:t>复核人：</w:t>
            </w:r>
          </w:p>
        </w:tc>
        <w:tc>
          <w:tcPr>
            <w:tcW w:w="2502"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81436D" w:rsidRDefault="0081436D">
            <w:pPr>
              <w:rPr>
                <w:rFonts w:ascii="仿宋_GB2312" w:eastAsia="仿宋_GB2312" w:cs="仿宋_GB2312"/>
                <w:color w:val="000000"/>
                <w:sz w:val="22"/>
                <w:szCs w:val="22"/>
              </w:rPr>
            </w:pPr>
          </w:p>
        </w:tc>
        <w:tc>
          <w:tcPr>
            <w:tcW w:w="3813" w:type="dxa"/>
            <w:gridSpan w:val="2"/>
            <w:vMerge/>
            <w:tcBorders>
              <w:top w:val="single" w:sz="4" w:space="0" w:color="000000"/>
              <w:left w:val="nil"/>
              <w:bottom w:val="single" w:sz="4" w:space="0" w:color="000000"/>
              <w:right w:val="single" w:sz="4" w:space="0" w:color="000000"/>
            </w:tcBorders>
            <w:tcMar>
              <w:top w:w="15" w:type="dxa"/>
              <w:left w:w="15" w:type="dxa"/>
              <w:right w:w="15" w:type="dxa"/>
            </w:tcMar>
          </w:tcPr>
          <w:p w:rsidR="0081436D" w:rsidRDefault="0081436D"/>
        </w:tc>
      </w:tr>
      <w:tr w:rsidR="0081436D">
        <w:trPr>
          <w:trHeight w:val="600"/>
        </w:trPr>
        <w:tc>
          <w:tcPr>
            <w:tcW w:w="20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436D" w:rsidRDefault="00BD165F">
            <w:pPr>
              <w:rPr>
                <w:rFonts w:ascii="仿宋_GB2312" w:eastAsia="仿宋_GB2312" w:cs="仿宋_GB2312"/>
                <w:color w:val="000000"/>
                <w:sz w:val="22"/>
                <w:szCs w:val="22"/>
              </w:rPr>
            </w:pPr>
            <w:r>
              <w:rPr>
                <w:rFonts w:ascii="仿宋_GB2312" w:eastAsia="仿宋_GB2312" w:cs="仿宋_GB2312" w:hint="eastAsia"/>
                <w:color w:val="000000"/>
                <w:sz w:val="22"/>
                <w:szCs w:val="22"/>
                <w:lang w:bidi="ar"/>
              </w:rPr>
              <w:t>审批人：</w:t>
            </w:r>
          </w:p>
        </w:tc>
        <w:tc>
          <w:tcPr>
            <w:tcW w:w="2502"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81436D" w:rsidRDefault="0081436D">
            <w:pPr>
              <w:rPr>
                <w:rFonts w:ascii="仿宋_GB2312" w:eastAsia="仿宋_GB2312" w:cs="仿宋_GB2312"/>
                <w:color w:val="000000"/>
                <w:sz w:val="22"/>
                <w:szCs w:val="22"/>
              </w:rPr>
            </w:pPr>
          </w:p>
        </w:tc>
        <w:tc>
          <w:tcPr>
            <w:tcW w:w="3813" w:type="dxa"/>
            <w:gridSpan w:val="2"/>
            <w:vMerge/>
            <w:tcBorders>
              <w:top w:val="single" w:sz="4" w:space="0" w:color="000000"/>
              <w:left w:val="nil"/>
              <w:bottom w:val="single" w:sz="4" w:space="0" w:color="000000"/>
              <w:right w:val="single" w:sz="4" w:space="0" w:color="000000"/>
            </w:tcBorders>
            <w:tcMar>
              <w:top w:w="15" w:type="dxa"/>
              <w:left w:w="15" w:type="dxa"/>
              <w:right w:w="15" w:type="dxa"/>
            </w:tcMar>
          </w:tcPr>
          <w:p w:rsidR="0081436D" w:rsidRDefault="0081436D"/>
        </w:tc>
      </w:tr>
      <w:tr w:rsidR="0081436D">
        <w:trPr>
          <w:trHeight w:val="600"/>
        </w:trPr>
        <w:tc>
          <w:tcPr>
            <w:tcW w:w="452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436D" w:rsidRDefault="00BD165F">
            <w:pPr>
              <w:rPr>
                <w:rFonts w:ascii="仿宋_GB2312" w:eastAsia="仿宋_GB2312" w:cs="仿宋_GB2312"/>
                <w:color w:val="000000"/>
                <w:sz w:val="22"/>
                <w:szCs w:val="22"/>
              </w:rPr>
            </w:pPr>
            <w:r>
              <w:rPr>
                <w:rFonts w:ascii="仿宋_GB2312" w:eastAsia="仿宋_GB2312" w:cs="仿宋_GB2312" w:hint="eastAsia"/>
                <w:color w:val="000000"/>
                <w:sz w:val="22"/>
                <w:szCs w:val="22"/>
                <w:lang w:bidi="ar"/>
              </w:rPr>
              <w:t>托管银行</w:t>
            </w:r>
          </w:p>
        </w:tc>
        <w:tc>
          <w:tcPr>
            <w:tcW w:w="3813" w:type="dxa"/>
            <w:gridSpan w:val="2"/>
            <w:tcBorders>
              <w:top w:val="single" w:sz="4" w:space="0" w:color="000000"/>
              <w:left w:val="nil"/>
              <w:bottom w:val="single" w:sz="4" w:space="0" w:color="000000"/>
              <w:right w:val="single" w:sz="4" w:space="0" w:color="000000"/>
            </w:tcBorders>
            <w:tcMar>
              <w:top w:w="15" w:type="dxa"/>
              <w:left w:w="15" w:type="dxa"/>
              <w:right w:w="15" w:type="dxa"/>
            </w:tcMar>
            <w:vAlign w:val="center"/>
          </w:tcPr>
          <w:p w:rsidR="0081436D" w:rsidRDefault="00BD165F">
            <w:pPr>
              <w:rPr>
                <w:rFonts w:ascii="仿宋_GB2312" w:eastAsia="仿宋_GB2312" w:cs="仿宋_GB2312"/>
                <w:color w:val="000000"/>
                <w:sz w:val="22"/>
                <w:szCs w:val="22"/>
              </w:rPr>
            </w:pPr>
            <w:r>
              <w:rPr>
                <w:rFonts w:ascii="仿宋_GB2312" w:eastAsia="仿宋_GB2312" w:cs="仿宋_GB2312" w:hint="eastAsia"/>
                <w:color w:val="000000"/>
                <w:sz w:val="22"/>
                <w:szCs w:val="22"/>
                <w:lang w:bidi="ar"/>
              </w:rPr>
              <w:t>托管银行确认专户划款指令已经执行。</w:t>
            </w:r>
          </w:p>
        </w:tc>
      </w:tr>
      <w:tr w:rsidR="0081436D">
        <w:trPr>
          <w:trHeight w:val="600"/>
        </w:trPr>
        <w:tc>
          <w:tcPr>
            <w:tcW w:w="20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436D" w:rsidRDefault="00BD165F">
            <w:pPr>
              <w:rPr>
                <w:rFonts w:ascii="仿宋_GB2312" w:eastAsia="仿宋_GB2312" w:cs="仿宋_GB2312"/>
                <w:color w:val="000000"/>
                <w:sz w:val="22"/>
                <w:szCs w:val="22"/>
              </w:rPr>
            </w:pPr>
            <w:r>
              <w:rPr>
                <w:rFonts w:ascii="仿宋_GB2312" w:eastAsia="仿宋_GB2312" w:cs="仿宋_GB2312" w:hint="eastAsia"/>
                <w:color w:val="000000"/>
                <w:sz w:val="22"/>
                <w:szCs w:val="22"/>
                <w:lang w:bidi="ar"/>
              </w:rPr>
              <w:t>经办人：</w:t>
            </w:r>
          </w:p>
        </w:tc>
        <w:tc>
          <w:tcPr>
            <w:tcW w:w="2502"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81436D" w:rsidRDefault="0081436D">
            <w:pPr>
              <w:rPr>
                <w:rFonts w:ascii="仿宋_GB2312" w:eastAsia="仿宋_GB2312" w:cs="仿宋_GB2312"/>
                <w:color w:val="000000"/>
                <w:sz w:val="22"/>
                <w:szCs w:val="22"/>
              </w:rPr>
            </w:pPr>
          </w:p>
        </w:tc>
        <w:tc>
          <w:tcPr>
            <w:tcW w:w="3813" w:type="dxa"/>
            <w:gridSpan w:val="2"/>
            <w:vMerge w:val="restart"/>
            <w:tcBorders>
              <w:top w:val="single" w:sz="4" w:space="0" w:color="000000"/>
              <w:left w:val="nil"/>
              <w:bottom w:val="single" w:sz="4" w:space="0" w:color="000000"/>
              <w:right w:val="single" w:sz="4" w:space="0" w:color="000000"/>
            </w:tcBorders>
            <w:tcMar>
              <w:top w:w="15" w:type="dxa"/>
              <w:left w:w="15" w:type="dxa"/>
              <w:right w:w="15" w:type="dxa"/>
            </w:tcMar>
          </w:tcPr>
          <w:p w:rsidR="0081436D" w:rsidRDefault="00BD165F">
            <w:pPr>
              <w:rPr>
                <w:rFonts w:ascii="仿宋_GB2312" w:eastAsia="仿宋_GB2312" w:cs="仿宋_GB2312"/>
                <w:color w:val="000000"/>
                <w:sz w:val="22"/>
                <w:szCs w:val="22"/>
              </w:rPr>
            </w:pPr>
            <w:r>
              <w:rPr>
                <w:rFonts w:ascii="仿宋_GB2312" w:eastAsia="仿宋_GB2312" w:cs="仿宋_GB2312" w:hint="eastAsia"/>
                <w:color w:val="000000"/>
                <w:sz w:val="22"/>
                <w:szCs w:val="22"/>
                <w:lang w:bidi="ar"/>
              </w:rPr>
              <w:t>签章：</w:t>
            </w:r>
          </w:p>
        </w:tc>
      </w:tr>
      <w:tr w:rsidR="0081436D">
        <w:trPr>
          <w:trHeight w:val="600"/>
        </w:trPr>
        <w:tc>
          <w:tcPr>
            <w:tcW w:w="20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436D" w:rsidRDefault="00BD165F">
            <w:pPr>
              <w:rPr>
                <w:rFonts w:ascii="仿宋_GB2312" w:eastAsia="仿宋_GB2312" w:cs="仿宋_GB2312"/>
                <w:color w:val="000000"/>
                <w:sz w:val="22"/>
                <w:szCs w:val="22"/>
              </w:rPr>
            </w:pPr>
            <w:r>
              <w:rPr>
                <w:rFonts w:ascii="仿宋_GB2312" w:eastAsia="仿宋_GB2312" w:cs="仿宋_GB2312" w:hint="eastAsia"/>
                <w:color w:val="000000"/>
                <w:sz w:val="22"/>
                <w:szCs w:val="22"/>
                <w:lang w:bidi="ar"/>
              </w:rPr>
              <w:t>复核人：</w:t>
            </w:r>
          </w:p>
        </w:tc>
        <w:tc>
          <w:tcPr>
            <w:tcW w:w="2502"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81436D" w:rsidRDefault="0081436D">
            <w:pPr>
              <w:rPr>
                <w:rFonts w:ascii="仿宋_GB2312" w:eastAsia="仿宋_GB2312" w:cs="仿宋_GB2312"/>
                <w:color w:val="000000"/>
                <w:sz w:val="22"/>
                <w:szCs w:val="22"/>
              </w:rPr>
            </w:pPr>
          </w:p>
        </w:tc>
        <w:tc>
          <w:tcPr>
            <w:tcW w:w="3813" w:type="dxa"/>
            <w:gridSpan w:val="2"/>
            <w:vMerge/>
            <w:tcBorders>
              <w:top w:val="single" w:sz="4" w:space="0" w:color="000000"/>
              <w:left w:val="nil"/>
              <w:bottom w:val="single" w:sz="4" w:space="0" w:color="000000"/>
              <w:right w:val="single" w:sz="4" w:space="0" w:color="000000"/>
            </w:tcBorders>
            <w:tcMar>
              <w:top w:w="15" w:type="dxa"/>
              <w:left w:w="15" w:type="dxa"/>
              <w:right w:w="15" w:type="dxa"/>
            </w:tcMar>
          </w:tcPr>
          <w:p w:rsidR="0081436D" w:rsidRDefault="0081436D"/>
        </w:tc>
      </w:tr>
      <w:tr w:rsidR="0081436D">
        <w:trPr>
          <w:trHeight w:val="600"/>
        </w:trPr>
        <w:tc>
          <w:tcPr>
            <w:tcW w:w="20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436D" w:rsidRDefault="00BD165F">
            <w:pPr>
              <w:rPr>
                <w:rFonts w:ascii="仿宋_GB2312" w:eastAsia="仿宋_GB2312" w:cs="仿宋_GB2312"/>
                <w:color w:val="000000"/>
                <w:sz w:val="22"/>
                <w:szCs w:val="22"/>
              </w:rPr>
            </w:pPr>
            <w:r>
              <w:rPr>
                <w:rFonts w:ascii="仿宋_GB2312" w:eastAsia="仿宋_GB2312" w:cs="仿宋_GB2312" w:hint="eastAsia"/>
                <w:color w:val="000000"/>
                <w:sz w:val="22"/>
                <w:szCs w:val="22"/>
                <w:lang w:bidi="ar"/>
              </w:rPr>
              <w:t>审批人：</w:t>
            </w:r>
          </w:p>
        </w:tc>
        <w:tc>
          <w:tcPr>
            <w:tcW w:w="2502"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81436D" w:rsidRDefault="0081436D">
            <w:pPr>
              <w:rPr>
                <w:rFonts w:ascii="仿宋_GB2312" w:eastAsia="仿宋_GB2312" w:cs="仿宋_GB2312"/>
                <w:color w:val="000000"/>
                <w:sz w:val="22"/>
                <w:szCs w:val="22"/>
              </w:rPr>
            </w:pPr>
          </w:p>
        </w:tc>
        <w:tc>
          <w:tcPr>
            <w:tcW w:w="3813" w:type="dxa"/>
            <w:gridSpan w:val="2"/>
            <w:vMerge/>
            <w:tcBorders>
              <w:top w:val="single" w:sz="4" w:space="0" w:color="000000"/>
              <w:left w:val="nil"/>
              <w:bottom w:val="single" w:sz="4" w:space="0" w:color="000000"/>
              <w:right w:val="single" w:sz="4" w:space="0" w:color="000000"/>
            </w:tcBorders>
            <w:tcMar>
              <w:top w:w="15" w:type="dxa"/>
              <w:left w:w="15" w:type="dxa"/>
              <w:right w:w="15" w:type="dxa"/>
            </w:tcMar>
          </w:tcPr>
          <w:p w:rsidR="0081436D" w:rsidRDefault="0081436D"/>
        </w:tc>
      </w:tr>
      <w:tr w:rsidR="0081436D">
        <w:trPr>
          <w:trHeight w:val="600"/>
        </w:trPr>
        <w:tc>
          <w:tcPr>
            <w:tcW w:w="8336"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436D" w:rsidRDefault="00BD165F">
            <w:pPr>
              <w:rPr>
                <w:rFonts w:ascii="仿宋_GB2312" w:eastAsia="仿宋_GB2312" w:cs="仿宋_GB2312"/>
                <w:color w:val="000000"/>
                <w:sz w:val="22"/>
                <w:szCs w:val="22"/>
              </w:rPr>
            </w:pPr>
            <w:r>
              <w:rPr>
                <w:rFonts w:ascii="仿宋_GB2312" w:eastAsia="仿宋_GB2312" w:cs="仿宋_GB2312" w:hint="eastAsia"/>
                <w:color w:val="000000"/>
                <w:sz w:val="22"/>
                <w:szCs w:val="22"/>
                <w:lang w:bidi="ar"/>
              </w:rPr>
              <w:t>备注：认购利息、费用等数据请查阅附件</w:t>
            </w:r>
          </w:p>
        </w:tc>
      </w:tr>
    </w:tbl>
    <w:p w:rsidR="0081436D" w:rsidRDefault="00BD165F">
      <w:pPr>
        <w:pStyle w:val="af"/>
        <w:spacing w:before="0" w:beforeAutospacing="0" w:after="0" w:afterAutospacing="0"/>
        <w:rPr>
          <w:rFonts w:ascii="仿宋_GB2312" w:eastAsia="仿宋_GB2312"/>
          <w:b/>
          <w:sz w:val="28"/>
          <w:szCs w:val="28"/>
        </w:rPr>
      </w:pPr>
      <w:r>
        <w:rPr>
          <w:rFonts w:ascii="仿宋_GB2312" w:eastAsia="仿宋_GB2312" w:hint="eastAsia"/>
          <w:b/>
          <w:sz w:val="28"/>
          <w:szCs w:val="28"/>
          <w:lang w:bidi="ar"/>
        </w:rPr>
        <w:t xml:space="preserve"> </w:t>
      </w:r>
    </w:p>
    <w:p w:rsidR="0081436D" w:rsidRDefault="00BD165F">
      <w:pPr>
        <w:pStyle w:val="af"/>
        <w:widowControl w:val="0"/>
        <w:spacing w:before="0" w:beforeAutospacing="0" w:after="0" w:afterAutospacing="0" w:line="360" w:lineRule="auto"/>
        <w:ind w:firstLine="562"/>
        <w:jc w:val="both"/>
        <w:outlineLvl w:val="0"/>
        <w:rPr>
          <w:rFonts w:ascii="仿宋_GB2312" w:eastAsia="仿宋_GB2312"/>
          <w:b/>
          <w:sz w:val="28"/>
          <w:szCs w:val="28"/>
        </w:rPr>
      </w:pPr>
      <w:r>
        <w:rPr>
          <w:rFonts w:ascii="仿宋_GB2312" w:eastAsia="仿宋_GB2312" w:hint="eastAsia"/>
          <w:b/>
          <w:sz w:val="28"/>
          <w:szCs w:val="28"/>
          <w:lang w:bidi="ar"/>
        </w:rPr>
        <w:t xml:space="preserve"> </w:t>
      </w:r>
    </w:p>
    <w:p w:rsidR="0081436D" w:rsidRDefault="0081436D">
      <w:pPr>
        <w:spacing w:line="360" w:lineRule="auto"/>
        <w:ind w:firstLineChars="200" w:firstLine="562"/>
        <w:rPr>
          <w:rFonts w:ascii="仿宋_GB2312" w:eastAsia="仿宋_GB2312" w:hAnsi="仿宋_GB2312"/>
          <w:b/>
          <w:sz w:val="28"/>
          <w:szCs w:val="28"/>
        </w:rPr>
      </w:pPr>
    </w:p>
    <w:p w:rsidR="0081436D" w:rsidRDefault="0081436D">
      <w:pPr>
        <w:pStyle w:val="Heading21"/>
        <w:rPr>
          <w:rFonts w:ascii="仿宋_GB2312" w:eastAsia="仿宋_GB2312" w:hAnsi="仿宋_GB2312"/>
        </w:rPr>
      </w:pPr>
    </w:p>
    <w:p w:rsidR="0081436D" w:rsidRDefault="0081436D"/>
    <w:p w:rsidR="0081436D" w:rsidRDefault="0081436D">
      <w:pPr>
        <w:spacing w:line="590" w:lineRule="exact"/>
        <w:ind w:firstLineChars="200" w:firstLine="643"/>
        <w:rPr>
          <w:rFonts w:ascii="仿宋_GB2312" w:eastAsia="仿宋_GB2312" w:hAnsi="仿宋_GB2312"/>
          <w:b/>
          <w:sz w:val="32"/>
          <w:szCs w:val="32"/>
        </w:rPr>
      </w:pPr>
    </w:p>
    <w:p w:rsidR="0081436D" w:rsidRDefault="00BD165F">
      <w:pPr>
        <w:spacing w:line="590" w:lineRule="exact"/>
        <w:rPr>
          <w:rFonts w:ascii="仿宋_GB2312" w:eastAsia="仿宋_GB2312" w:hAnsi="仿宋_GB2312"/>
          <w:b/>
          <w:sz w:val="32"/>
          <w:szCs w:val="32"/>
        </w:rPr>
      </w:pPr>
      <w:r>
        <w:rPr>
          <w:rFonts w:ascii="仿宋_GB2312" w:eastAsia="仿宋_GB2312" w:hAnsi="仿宋_GB2312"/>
          <w:b/>
          <w:sz w:val="32"/>
          <w:szCs w:val="32"/>
        </w:rPr>
        <w:lastRenderedPageBreak/>
        <w:t>附件</w:t>
      </w:r>
      <w:r>
        <w:rPr>
          <w:rFonts w:ascii="仿宋_GB2312" w:eastAsia="仿宋_GB2312" w:hAnsi="仿宋_GB2312" w:hint="eastAsia"/>
          <w:b/>
          <w:sz w:val="32"/>
          <w:szCs w:val="32"/>
        </w:rPr>
        <w:t>三</w:t>
      </w:r>
      <w:r>
        <w:rPr>
          <w:rFonts w:ascii="仿宋_GB2312" w:eastAsia="仿宋_GB2312" w:hAnsi="仿宋_GB2312"/>
          <w:b/>
          <w:sz w:val="32"/>
          <w:szCs w:val="32"/>
        </w:rPr>
        <w:t>：</w:t>
      </w:r>
    </w:p>
    <w:p w:rsidR="0081436D" w:rsidRDefault="00BD165F">
      <w:pPr>
        <w:jc w:val="center"/>
        <w:rPr>
          <w:rFonts w:ascii="宋体" w:hAnsi="宋体"/>
          <w:sz w:val="28"/>
        </w:rPr>
      </w:pPr>
      <w:r>
        <w:rPr>
          <w:rFonts w:ascii="宋体" w:hAnsi="宋体"/>
          <w:sz w:val="28"/>
        </w:rPr>
        <w:t>授权通知书</w:t>
      </w:r>
    </w:p>
    <w:p w:rsidR="0081436D" w:rsidRDefault="00BD165F">
      <w:pPr>
        <w:rPr>
          <w:rFonts w:ascii="宋体" w:hAnsi="宋体"/>
          <w:sz w:val="24"/>
        </w:rPr>
      </w:pPr>
      <w:r>
        <w:rPr>
          <w:rFonts w:ascii="宋体" w:hAnsi="宋体"/>
          <w:sz w:val="24"/>
        </w:rPr>
        <w:t>尊敬的托管人：</w:t>
      </w:r>
    </w:p>
    <w:p w:rsidR="0081436D" w:rsidRDefault="00BD165F">
      <w:pPr>
        <w:ind w:firstLine="480"/>
        <w:rPr>
          <w:rFonts w:ascii="宋体" w:hAnsi="宋体"/>
          <w:sz w:val="24"/>
        </w:rPr>
      </w:pPr>
      <w:r>
        <w:rPr>
          <w:rFonts w:ascii="宋体" w:hAnsi="宋体"/>
          <w:sz w:val="24"/>
        </w:rPr>
        <w:t>我司向贵行发送管理运营理财产品财产划款指令的被授权人及其权限为：</w:t>
      </w:r>
    </w:p>
    <w:p w:rsidR="0081436D" w:rsidRDefault="00BD165F">
      <w:pPr>
        <w:pStyle w:val="af"/>
        <w:outlineLvl w:val="0"/>
        <w:rPr>
          <w:rFonts w:ascii="宋体" w:hAnsi="宋体"/>
          <w:szCs w:val="24"/>
        </w:rPr>
      </w:pPr>
      <w:bookmarkStart w:id="293" w:name="_Toc1270"/>
      <w:bookmarkStart w:id="294" w:name="_Toc5030"/>
      <w:r>
        <w:rPr>
          <w:b/>
          <w:szCs w:val="24"/>
        </w:rPr>
        <w:t>一、</w:t>
      </w:r>
      <w:r>
        <w:rPr>
          <w:rFonts w:ascii="宋体" w:hAnsi="宋体"/>
          <w:b/>
          <w:szCs w:val="24"/>
        </w:rPr>
        <w:t>被授权人及权限</w:t>
      </w:r>
      <w:bookmarkEnd w:id="293"/>
      <w:bookmarkEnd w:id="294"/>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65"/>
        <w:gridCol w:w="4357"/>
      </w:tblGrid>
      <w:tr w:rsidR="0081436D">
        <w:trPr>
          <w:trHeight w:val="353"/>
        </w:trPr>
        <w:tc>
          <w:tcPr>
            <w:tcW w:w="4165" w:type="dxa"/>
            <w:vAlign w:val="center"/>
          </w:tcPr>
          <w:p w:rsidR="0081436D" w:rsidRDefault="00BD165F">
            <w:pPr>
              <w:spacing w:line="360" w:lineRule="auto"/>
              <w:jc w:val="center"/>
              <w:rPr>
                <w:rFonts w:ascii="宋体" w:hAnsi="宋体"/>
                <w:b/>
                <w:sz w:val="24"/>
              </w:rPr>
            </w:pPr>
            <w:r>
              <w:rPr>
                <w:rFonts w:ascii="宋体" w:hAnsi="宋体"/>
                <w:b/>
                <w:sz w:val="24"/>
              </w:rPr>
              <w:t>被授权人</w:t>
            </w:r>
          </w:p>
        </w:tc>
        <w:tc>
          <w:tcPr>
            <w:tcW w:w="4357" w:type="dxa"/>
            <w:vAlign w:val="center"/>
          </w:tcPr>
          <w:p w:rsidR="0081436D" w:rsidRDefault="00BD165F">
            <w:pPr>
              <w:spacing w:line="360" w:lineRule="auto"/>
              <w:jc w:val="center"/>
              <w:rPr>
                <w:rFonts w:ascii="宋体" w:hAnsi="宋体"/>
                <w:b/>
                <w:sz w:val="24"/>
              </w:rPr>
            </w:pPr>
            <w:r>
              <w:rPr>
                <w:rFonts w:ascii="宋体" w:hAnsi="宋体"/>
                <w:b/>
                <w:sz w:val="24"/>
              </w:rPr>
              <w:t>权限</w:t>
            </w:r>
          </w:p>
        </w:tc>
      </w:tr>
      <w:tr w:rsidR="0081436D">
        <w:trPr>
          <w:trHeight w:val="575"/>
        </w:trPr>
        <w:tc>
          <w:tcPr>
            <w:tcW w:w="4165" w:type="dxa"/>
            <w:vAlign w:val="center"/>
          </w:tcPr>
          <w:p w:rsidR="0081436D" w:rsidRDefault="0081436D">
            <w:pPr>
              <w:jc w:val="center"/>
              <w:rPr>
                <w:rFonts w:ascii="宋体" w:hAnsi="宋体"/>
                <w:sz w:val="24"/>
                <w:szCs w:val="24"/>
              </w:rPr>
            </w:pPr>
          </w:p>
        </w:tc>
        <w:tc>
          <w:tcPr>
            <w:tcW w:w="4357" w:type="dxa"/>
            <w:vAlign w:val="center"/>
          </w:tcPr>
          <w:p w:rsidR="0081436D" w:rsidRDefault="0081436D">
            <w:pPr>
              <w:jc w:val="center"/>
              <w:rPr>
                <w:rFonts w:ascii="宋体" w:hAnsi="宋体"/>
                <w:sz w:val="24"/>
                <w:szCs w:val="24"/>
              </w:rPr>
            </w:pPr>
          </w:p>
        </w:tc>
      </w:tr>
    </w:tbl>
    <w:p w:rsidR="0081436D" w:rsidRDefault="0081436D">
      <w:pPr>
        <w:ind w:firstLine="529"/>
        <w:rPr>
          <w:rFonts w:ascii="宋体" w:hAnsi="宋体"/>
          <w:sz w:val="24"/>
        </w:rPr>
      </w:pPr>
    </w:p>
    <w:p w:rsidR="0081436D" w:rsidRDefault="00BD165F">
      <w:pPr>
        <w:ind w:firstLine="480"/>
        <w:rPr>
          <w:rFonts w:ascii="宋体" w:hAnsi="宋体"/>
          <w:sz w:val="24"/>
        </w:rPr>
      </w:pPr>
      <w:r>
        <w:rPr>
          <w:rFonts w:ascii="宋体" w:hAnsi="宋体"/>
          <w:sz w:val="24"/>
        </w:rPr>
        <w:t>划款指令由任意</w:t>
      </w:r>
      <w:r>
        <w:rPr>
          <w:rFonts w:ascii="宋体" w:hAnsi="宋体"/>
          <w:sz w:val="24"/>
        </w:rPr>
        <w:t>1</w:t>
      </w:r>
      <w:r>
        <w:rPr>
          <w:rFonts w:ascii="宋体" w:hAnsi="宋体"/>
          <w:sz w:val="24"/>
        </w:rPr>
        <w:t>名审批签发人签章或签字并加盖预留业务章，为有效指令。被授权人在授权范围内向你行发送业务通知和指令的真实性、准确性及合法性由我单位负全部责任。</w:t>
      </w:r>
    </w:p>
    <w:p w:rsidR="0081436D" w:rsidRDefault="00BD165F">
      <w:pPr>
        <w:pStyle w:val="af"/>
        <w:outlineLvl w:val="0"/>
        <w:rPr>
          <w:rFonts w:ascii="仿宋" w:hAnsi="仿宋"/>
          <w:b/>
          <w:szCs w:val="24"/>
        </w:rPr>
      </w:pPr>
      <w:bookmarkStart w:id="295" w:name="_Toc32579"/>
      <w:bookmarkStart w:id="296" w:name="_Toc28461"/>
      <w:r>
        <w:rPr>
          <w:rFonts w:ascii="仿宋" w:hAnsi="仿宋"/>
          <w:b/>
          <w:szCs w:val="24"/>
        </w:rPr>
        <w:t>二、被授权人签字样式</w:t>
      </w:r>
      <w:bookmarkEnd w:id="295"/>
      <w:bookmarkEnd w:id="296"/>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7"/>
        <w:gridCol w:w="2831"/>
        <w:gridCol w:w="3614"/>
      </w:tblGrid>
      <w:tr w:rsidR="0081436D">
        <w:trPr>
          <w:trHeight w:val="492"/>
        </w:trPr>
        <w:tc>
          <w:tcPr>
            <w:tcW w:w="2077" w:type="dxa"/>
            <w:vAlign w:val="center"/>
          </w:tcPr>
          <w:p w:rsidR="0081436D" w:rsidRDefault="00BD165F">
            <w:pPr>
              <w:jc w:val="center"/>
              <w:rPr>
                <w:rFonts w:ascii="仿宋" w:hAnsi="仿宋"/>
                <w:b/>
                <w:bCs/>
                <w:sz w:val="24"/>
              </w:rPr>
            </w:pPr>
            <w:r>
              <w:rPr>
                <w:rFonts w:ascii="仿宋" w:hAnsi="仿宋"/>
                <w:b/>
                <w:bCs/>
                <w:sz w:val="24"/>
              </w:rPr>
              <w:t>被授权人</w:t>
            </w:r>
          </w:p>
        </w:tc>
        <w:tc>
          <w:tcPr>
            <w:tcW w:w="2831" w:type="dxa"/>
            <w:vAlign w:val="center"/>
          </w:tcPr>
          <w:p w:rsidR="0081436D" w:rsidRDefault="00BD165F">
            <w:pPr>
              <w:jc w:val="center"/>
              <w:rPr>
                <w:rFonts w:ascii="仿宋" w:hAnsi="仿宋"/>
                <w:b/>
                <w:bCs/>
                <w:sz w:val="24"/>
              </w:rPr>
            </w:pPr>
            <w:r>
              <w:rPr>
                <w:rFonts w:ascii="仿宋" w:hAnsi="仿宋"/>
                <w:b/>
                <w:bCs/>
                <w:sz w:val="24"/>
              </w:rPr>
              <w:t>对应签章样本</w:t>
            </w:r>
          </w:p>
        </w:tc>
        <w:tc>
          <w:tcPr>
            <w:tcW w:w="3614" w:type="dxa"/>
            <w:vAlign w:val="center"/>
          </w:tcPr>
          <w:p w:rsidR="0081436D" w:rsidRDefault="00BD165F">
            <w:pPr>
              <w:jc w:val="center"/>
              <w:rPr>
                <w:rFonts w:ascii="仿宋" w:hAnsi="仿宋"/>
                <w:b/>
                <w:bCs/>
                <w:sz w:val="24"/>
              </w:rPr>
            </w:pPr>
            <w:r>
              <w:rPr>
                <w:rFonts w:ascii="仿宋" w:hAnsi="仿宋"/>
                <w:b/>
                <w:bCs/>
                <w:sz w:val="24"/>
              </w:rPr>
              <w:t>预留业务章印鉴</w:t>
            </w:r>
          </w:p>
        </w:tc>
      </w:tr>
      <w:tr w:rsidR="0081436D">
        <w:trPr>
          <w:trHeight w:val="1990"/>
        </w:trPr>
        <w:tc>
          <w:tcPr>
            <w:tcW w:w="2077" w:type="dxa"/>
            <w:vAlign w:val="center"/>
          </w:tcPr>
          <w:p w:rsidR="0081436D" w:rsidRDefault="0081436D">
            <w:pPr>
              <w:jc w:val="center"/>
              <w:rPr>
                <w:rFonts w:ascii="仿宋" w:hAnsi="仿宋"/>
                <w:sz w:val="24"/>
                <w:szCs w:val="24"/>
              </w:rPr>
            </w:pPr>
          </w:p>
        </w:tc>
        <w:tc>
          <w:tcPr>
            <w:tcW w:w="2831" w:type="dxa"/>
            <w:vAlign w:val="center"/>
          </w:tcPr>
          <w:p w:rsidR="0081436D" w:rsidRDefault="0081436D">
            <w:pPr>
              <w:ind w:firstLine="567"/>
              <w:rPr>
                <w:rFonts w:ascii="仿宋" w:hAnsi="仿宋"/>
                <w:sz w:val="24"/>
                <w:szCs w:val="24"/>
              </w:rPr>
            </w:pPr>
          </w:p>
        </w:tc>
        <w:tc>
          <w:tcPr>
            <w:tcW w:w="3614" w:type="dxa"/>
            <w:vAlign w:val="center"/>
          </w:tcPr>
          <w:p w:rsidR="0081436D" w:rsidRDefault="0081436D">
            <w:pPr>
              <w:ind w:firstLine="567"/>
              <w:rPr>
                <w:rFonts w:ascii="仿宋" w:hAnsi="仿宋"/>
                <w:sz w:val="24"/>
                <w:szCs w:val="24"/>
              </w:rPr>
            </w:pPr>
          </w:p>
        </w:tc>
      </w:tr>
    </w:tbl>
    <w:p w:rsidR="0081436D" w:rsidRDefault="00BD165F">
      <w:pPr>
        <w:pStyle w:val="af"/>
        <w:numPr>
          <w:ilvl w:val="0"/>
          <w:numId w:val="7"/>
        </w:numPr>
        <w:outlineLvl w:val="0"/>
        <w:rPr>
          <w:rFonts w:ascii="仿宋" w:hAnsi="仿宋"/>
          <w:b/>
          <w:szCs w:val="24"/>
        </w:rPr>
      </w:pPr>
      <w:bookmarkStart w:id="297" w:name="_Toc14396"/>
      <w:bookmarkStart w:id="298" w:name="_Toc5137"/>
      <w:r>
        <w:rPr>
          <w:rFonts w:ascii="仿宋" w:hAnsi="仿宋"/>
          <w:b/>
          <w:szCs w:val="24"/>
        </w:rPr>
        <w:t>划款指令指定发送路径：</w:t>
      </w:r>
      <w:bookmarkEnd w:id="297"/>
      <w:bookmarkEnd w:id="298"/>
    </w:p>
    <w:p w:rsidR="0081436D" w:rsidRDefault="00BD165F">
      <w:pPr>
        <w:pStyle w:val="af"/>
        <w:outlineLvl w:val="0"/>
        <w:rPr>
          <w:rFonts w:ascii="仿宋" w:hAnsi="仿宋"/>
          <w:b/>
          <w:szCs w:val="24"/>
        </w:rPr>
      </w:pPr>
      <w:bookmarkStart w:id="299" w:name="_Toc14885"/>
      <w:bookmarkStart w:id="300" w:name="_Toc9585"/>
      <w:r>
        <w:rPr>
          <w:rFonts w:ascii="仿宋" w:hAnsi="仿宋"/>
          <w:b/>
          <w:szCs w:val="24"/>
        </w:rPr>
        <w:t>电子邮件地址：</w:t>
      </w:r>
      <w:bookmarkEnd w:id="299"/>
      <w:bookmarkEnd w:id="300"/>
    </w:p>
    <w:p w:rsidR="0081436D" w:rsidRDefault="00BD165F">
      <w:pPr>
        <w:pStyle w:val="af"/>
        <w:outlineLvl w:val="0"/>
        <w:rPr>
          <w:rFonts w:ascii="仿宋" w:hAnsi="仿宋"/>
          <w:sz w:val="28"/>
          <w:szCs w:val="28"/>
        </w:rPr>
      </w:pPr>
      <w:bookmarkStart w:id="301" w:name="_Toc156"/>
      <w:bookmarkStart w:id="302" w:name="_Toc15838"/>
      <w:r>
        <w:rPr>
          <w:rFonts w:ascii="仿宋" w:hAnsi="仿宋"/>
          <w:b/>
          <w:szCs w:val="24"/>
        </w:rPr>
        <w:t>传真号码：</w:t>
      </w:r>
      <w:bookmarkEnd w:id="301"/>
      <w:bookmarkEnd w:id="302"/>
    </w:p>
    <w:p w:rsidR="0081436D" w:rsidRDefault="00BD165F">
      <w:pPr>
        <w:ind w:firstLine="480"/>
        <w:rPr>
          <w:rFonts w:ascii="仿宋" w:hAnsi="仿宋"/>
          <w:color w:val="000000"/>
          <w:sz w:val="24"/>
        </w:rPr>
      </w:pPr>
      <w:r>
        <w:rPr>
          <w:rFonts w:ascii="仿宋" w:hAnsi="仿宋"/>
          <w:sz w:val="24"/>
        </w:rPr>
        <w:t>上述授权及签字样式自</w:t>
      </w:r>
      <w:r>
        <w:rPr>
          <w:rFonts w:ascii="仿宋" w:hAnsi="仿宋"/>
          <w:sz w:val="24"/>
        </w:rPr>
        <w:t xml:space="preserve">    </w:t>
      </w:r>
      <w:r>
        <w:rPr>
          <w:rFonts w:ascii="仿宋" w:hAnsi="仿宋"/>
          <w:sz w:val="24"/>
        </w:rPr>
        <w:t>年</w:t>
      </w:r>
      <w:r>
        <w:rPr>
          <w:rFonts w:ascii="仿宋" w:hAnsi="仿宋"/>
          <w:sz w:val="24"/>
        </w:rPr>
        <w:t xml:space="preserve">  </w:t>
      </w:r>
      <w:r>
        <w:rPr>
          <w:rFonts w:ascii="仿宋" w:hAnsi="仿宋"/>
          <w:sz w:val="24"/>
        </w:rPr>
        <w:t>月</w:t>
      </w:r>
      <w:r>
        <w:rPr>
          <w:rFonts w:ascii="仿宋" w:hAnsi="仿宋"/>
          <w:sz w:val="24"/>
        </w:rPr>
        <w:t xml:space="preserve">  </w:t>
      </w:r>
      <w:r>
        <w:rPr>
          <w:rFonts w:ascii="仿宋" w:hAnsi="仿宋"/>
          <w:sz w:val="24"/>
        </w:rPr>
        <w:t>日起生效，原授权及签字样式作废。</w:t>
      </w:r>
      <w:r>
        <w:rPr>
          <w:rFonts w:ascii="仿宋" w:hAnsi="仿宋"/>
          <w:color w:val="000000"/>
          <w:sz w:val="24"/>
        </w:rPr>
        <w:t xml:space="preserve"> </w:t>
      </w:r>
    </w:p>
    <w:p w:rsidR="0081436D" w:rsidRDefault="0081436D">
      <w:pPr>
        <w:spacing w:line="360" w:lineRule="auto"/>
        <w:ind w:right="23" w:firstLine="4760"/>
        <w:jc w:val="right"/>
        <w:rPr>
          <w:rFonts w:ascii="仿宋" w:hAnsi="仿宋"/>
          <w:color w:val="000000"/>
          <w:sz w:val="24"/>
        </w:rPr>
      </w:pPr>
    </w:p>
    <w:p w:rsidR="0081436D" w:rsidRDefault="00BD165F">
      <w:pPr>
        <w:spacing w:line="360" w:lineRule="auto"/>
        <w:ind w:right="23" w:firstLine="4760"/>
        <w:jc w:val="center"/>
        <w:rPr>
          <w:rFonts w:ascii="仿宋" w:hAnsi="仿宋"/>
          <w:color w:val="000000"/>
          <w:sz w:val="24"/>
        </w:rPr>
      </w:pPr>
      <w:r>
        <w:rPr>
          <w:rFonts w:ascii="仿宋" w:hAnsi="仿宋"/>
          <w:color w:val="000000"/>
          <w:sz w:val="24"/>
        </w:rPr>
        <w:t>（公</w:t>
      </w:r>
      <w:r>
        <w:rPr>
          <w:rFonts w:ascii="仿宋" w:hAnsi="仿宋"/>
          <w:color w:val="000000"/>
          <w:sz w:val="24"/>
        </w:rPr>
        <w:t xml:space="preserve"> </w:t>
      </w:r>
      <w:r>
        <w:rPr>
          <w:rFonts w:ascii="仿宋" w:hAnsi="仿宋"/>
          <w:color w:val="000000"/>
          <w:sz w:val="24"/>
        </w:rPr>
        <w:t>章）</w:t>
      </w:r>
    </w:p>
    <w:p w:rsidR="0081436D" w:rsidRDefault="0081436D">
      <w:pPr>
        <w:spacing w:line="360" w:lineRule="auto"/>
        <w:ind w:right="31" w:firstLine="4760"/>
        <w:rPr>
          <w:rFonts w:ascii="仿宋" w:hAnsi="仿宋"/>
          <w:color w:val="000000"/>
          <w:sz w:val="24"/>
        </w:rPr>
      </w:pPr>
    </w:p>
    <w:p w:rsidR="0081436D" w:rsidRDefault="00BD165F">
      <w:pPr>
        <w:rPr>
          <w:rFonts w:ascii="仿宋" w:hAnsi="仿宋"/>
          <w:color w:val="000000"/>
          <w:sz w:val="24"/>
        </w:rPr>
      </w:pPr>
      <w:r>
        <w:rPr>
          <w:rFonts w:ascii="仿宋" w:hAnsi="仿宋"/>
          <w:color w:val="000000"/>
          <w:sz w:val="24"/>
        </w:rPr>
        <w:t xml:space="preserve">                                            </w:t>
      </w:r>
      <w:r>
        <w:rPr>
          <w:rFonts w:ascii="仿宋" w:hAnsi="仿宋"/>
          <w:color w:val="000000"/>
          <w:sz w:val="24"/>
        </w:rPr>
        <w:t>法定代表人（授权代表）：</w:t>
      </w:r>
      <w:r>
        <w:rPr>
          <w:rFonts w:ascii="仿宋" w:hAnsi="仿宋"/>
          <w:color w:val="000000"/>
          <w:sz w:val="24"/>
        </w:rPr>
        <w:t xml:space="preserve">     </w:t>
      </w:r>
      <w:r>
        <w:rPr>
          <w:rFonts w:ascii="仿宋" w:hAnsi="仿宋"/>
          <w:color w:val="000000"/>
          <w:sz w:val="24"/>
        </w:rPr>
        <w:tab/>
      </w:r>
      <w:r>
        <w:rPr>
          <w:rFonts w:ascii="仿宋" w:hAnsi="仿宋"/>
          <w:color w:val="000000"/>
          <w:sz w:val="24"/>
        </w:rPr>
        <w:tab/>
      </w:r>
      <w:r>
        <w:rPr>
          <w:rFonts w:ascii="仿宋" w:hAnsi="仿宋"/>
          <w:color w:val="000000"/>
          <w:sz w:val="24"/>
        </w:rPr>
        <w:tab/>
      </w:r>
      <w:r>
        <w:rPr>
          <w:rFonts w:ascii="仿宋" w:hAnsi="仿宋"/>
          <w:color w:val="000000"/>
          <w:sz w:val="24"/>
        </w:rPr>
        <w:tab/>
      </w:r>
      <w:r>
        <w:rPr>
          <w:rFonts w:ascii="仿宋" w:hAnsi="仿宋"/>
          <w:color w:val="000000"/>
          <w:sz w:val="24"/>
        </w:rPr>
        <w:tab/>
      </w:r>
      <w:r>
        <w:rPr>
          <w:rFonts w:ascii="仿宋" w:hAnsi="仿宋"/>
          <w:color w:val="000000"/>
          <w:sz w:val="24"/>
        </w:rPr>
        <w:tab/>
      </w:r>
      <w:r>
        <w:rPr>
          <w:rFonts w:ascii="仿宋" w:hAnsi="仿宋"/>
          <w:color w:val="000000"/>
          <w:sz w:val="24"/>
        </w:rPr>
        <w:tab/>
        <w:t xml:space="preserve">                                 </w:t>
      </w:r>
    </w:p>
    <w:p w:rsidR="0081436D" w:rsidRDefault="00BD165F">
      <w:pPr>
        <w:spacing w:line="590" w:lineRule="exact"/>
        <w:rPr>
          <w:rFonts w:ascii="仿宋" w:hAnsi="仿宋"/>
          <w:color w:val="000000"/>
          <w:sz w:val="24"/>
        </w:rPr>
      </w:pPr>
      <w:r>
        <w:rPr>
          <w:rFonts w:ascii="仿宋" w:hAnsi="仿宋"/>
          <w:color w:val="000000"/>
          <w:sz w:val="24"/>
        </w:rPr>
        <w:t xml:space="preserve">                                                   </w:t>
      </w:r>
      <w:r>
        <w:rPr>
          <w:rFonts w:ascii="仿宋" w:hAnsi="仿宋"/>
          <w:color w:val="000000"/>
          <w:sz w:val="24"/>
        </w:rPr>
        <w:t>年</w:t>
      </w:r>
      <w:r>
        <w:rPr>
          <w:rFonts w:ascii="仿宋" w:hAnsi="仿宋"/>
          <w:color w:val="000000"/>
          <w:sz w:val="24"/>
        </w:rPr>
        <w:t xml:space="preserve">  </w:t>
      </w:r>
      <w:r>
        <w:rPr>
          <w:rFonts w:ascii="仿宋" w:hAnsi="仿宋"/>
          <w:color w:val="000000"/>
          <w:sz w:val="24"/>
        </w:rPr>
        <w:t>月</w:t>
      </w:r>
      <w:r>
        <w:rPr>
          <w:rFonts w:ascii="仿宋" w:hAnsi="仿宋"/>
          <w:color w:val="000000"/>
          <w:sz w:val="24"/>
        </w:rPr>
        <w:t xml:space="preserve">  </w:t>
      </w:r>
      <w:r>
        <w:rPr>
          <w:rFonts w:ascii="仿宋" w:hAnsi="仿宋"/>
          <w:color w:val="000000"/>
          <w:sz w:val="24"/>
        </w:rPr>
        <w:t>日</w:t>
      </w:r>
      <w:r>
        <w:rPr>
          <w:rFonts w:ascii="仿宋" w:hAnsi="仿宋"/>
          <w:color w:val="000000"/>
          <w:sz w:val="24"/>
        </w:rPr>
        <w:t xml:space="preserve"> </w:t>
      </w:r>
    </w:p>
    <w:p w:rsidR="0081436D" w:rsidRDefault="0081436D">
      <w:pPr>
        <w:spacing w:line="590" w:lineRule="exact"/>
        <w:rPr>
          <w:rFonts w:ascii="仿宋_GB2312" w:eastAsia="仿宋_GB2312" w:hAnsi="仿宋_GB2312"/>
          <w:b/>
          <w:sz w:val="32"/>
          <w:szCs w:val="32"/>
        </w:rPr>
      </w:pPr>
    </w:p>
    <w:p w:rsidR="0081436D" w:rsidRDefault="00BD165F">
      <w:pPr>
        <w:spacing w:line="360" w:lineRule="auto"/>
        <w:rPr>
          <w:rFonts w:ascii="仿宋" w:hAnsi="仿宋"/>
          <w:color w:val="000000"/>
          <w:sz w:val="32"/>
          <w:szCs w:val="32"/>
        </w:rPr>
      </w:pPr>
      <w:r>
        <w:rPr>
          <w:rFonts w:ascii="仿宋_GB2312" w:eastAsia="仿宋_GB2312" w:hAnsi="仿宋_GB2312"/>
          <w:b/>
          <w:sz w:val="32"/>
          <w:szCs w:val="32"/>
        </w:rPr>
        <w:t>附件</w:t>
      </w:r>
      <w:r>
        <w:rPr>
          <w:rFonts w:ascii="仿宋_GB2312" w:eastAsia="仿宋_GB2312" w:hAnsi="仿宋_GB2312" w:hint="eastAsia"/>
          <w:b/>
          <w:sz w:val="32"/>
          <w:szCs w:val="32"/>
        </w:rPr>
        <w:t>四</w:t>
      </w:r>
      <w:r>
        <w:rPr>
          <w:rFonts w:ascii="仿宋_GB2312" w:eastAsia="仿宋_GB2312" w:hAnsi="仿宋_GB2312"/>
          <w:b/>
          <w:sz w:val="32"/>
          <w:szCs w:val="32"/>
        </w:rPr>
        <w:t>：</w:t>
      </w:r>
    </w:p>
    <w:p w:rsidR="0081436D" w:rsidRDefault="00BD165F">
      <w:pPr>
        <w:spacing w:line="360" w:lineRule="auto"/>
        <w:ind w:firstLine="643"/>
        <w:jc w:val="center"/>
        <w:rPr>
          <w:rFonts w:ascii="仿宋_GB2312" w:eastAsia="仿宋_GB2312" w:hAnsi="仿宋_GB2312"/>
          <w:b/>
          <w:sz w:val="32"/>
          <w:szCs w:val="32"/>
        </w:rPr>
      </w:pPr>
      <w:r>
        <w:rPr>
          <w:rFonts w:ascii="仿宋_GB2312" w:eastAsia="仿宋_GB2312" w:hAnsi="仿宋_GB2312"/>
          <w:b/>
          <w:sz w:val="32"/>
          <w:szCs w:val="32"/>
        </w:rPr>
        <w:t>业务联系表</w:t>
      </w:r>
    </w:p>
    <w:p w:rsidR="0081436D" w:rsidRDefault="0081436D">
      <w:pPr>
        <w:pStyle w:val="210"/>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24"/>
        <w:gridCol w:w="1785"/>
        <w:gridCol w:w="2393"/>
        <w:gridCol w:w="3020"/>
      </w:tblGrid>
      <w:tr w:rsidR="0081436D">
        <w:trPr>
          <w:trHeight w:val="535"/>
          <w:jc w:val="center"/>
        </w:trPr>
        <w:tc>
          <w:tcPr>
            <w:tcW w:w="5000" w:type="pct"/>
            <w:gridSpan w:val="4"/>
            <w:vAlign w:val="bottom"/>
          </w:tcPr>
          <w:p w:rsidR="0081436D" w:rsidRDefault="00BD165F">
            <w:pPr>
              <w:pStyle w:val="18"/>
              <w:spacing w:line="360" w:lineRule="auto"/>
              <w:ind w:firstLine="560"/>
              <w:jc w:val="center"/>
              <w:rPr>
                <w:rFonts w:ascii="仿宋_GB2312" w:eastAsia="仿宋_GB2312" w:hAnsi="仿宋_GB2312"/>
                <w:color w:val="000000"/>
                <w:sz w:val="24"/>
              </w:rPr>
            </w:pPr>
            <w:r>
              <w:rPr>
                <w:rFonts w:ascii="仿宋_GB2312" w:eastAsia="仿宋_GB2312" w:hAnsi="仿宋_GB2312"/>
                <w:color w:val="000000"/>
                <w:sz w:val="24"/>
              </w:rPr>
              <w:t>光大理财有限责任公司</w:t>
            </w:r>
          </w:p>
        </w:tc>
      </w:tr>
      <w:tr w:rsidR="0081436D">
        <w:trPr>
          <w:trHeight w:val="535"/>
          <w:jc w:val="center"/>
        </w:trPr>
        <w:tc>
          <w:tcPr>
            <w:tcW w:w="777" w:type="pct"/>
            <w:vAlign w:val="bottom"/>
          </w:tcPr>
          <w:p w:rsidR="0081436D" w:rsidRDefault="00BD165F">
            <w:pPr>
              <w:pStyle w:val="18"/>
              <w:spacing w:line="360" w:lineRule="auto"/>
              <w:jc w:val="center"/>
              <w:rPr>
                <w:rFonts w:ascii="仿宋_GB2312" w:eastAsia="仿宋_GB2312" w:hAnsi="仿宋_GB2312"/>
                <w:color w:val="000000"/>
                <w:szCs w:val="21"/>
              </w:rPr>
            </w:pPr>
            <w:r>
              <w:rPr>
                <w:rFonts w:ascii="仿宋_GB2312" w:eastAsia="仿宋_GB2312" w:hAnsi="仿宋_GB2312"/>
                <w:color w:val="000000"/>
                <w:szCs w:val="21"/>
              </w:rPr>
              <w:t>姓名</w:t>
            </w:r>
          </w:p>
        </w:tc>
        <w:tc>
          <w:tcPr>
            <w:tcW w:w="1047" w:type="pct"/>
            <w:vAlign w:val="bottom"/>
          </w:tcPr>
          <w:p w:rsidR="0081436D" w:rsidRDefault="00BD165F">
            <w:pPr>
              <w:pStyle w:val="18"/>
              <w:spacing w:line="360" w:lineRule="auto"/>
              <w:jc w:val="center"/>
              <w:rPr>
                <w:rFonts w:ascii="仿宋_GB2312" w:eastAsia="仿宋_GB2312" w:hAnsi="仿宋_GB2312"/>
                <w:color w:val="000000"/>
                <w:szCs w:val="21"/>
              </w:rPr>
            </w:pPr>
            <w:r>
              <w:rPr>
                <w:rFonts w:ascii="仿宋_GB2312" w:eastAsia="仿宋_GB2312" w:hAnsi="仿宋_GB2312"/>
                <w:color w:val="000000"/>
                <w:szCs w:val="21"/>
              </w:rPr>
              <w:t>联系电话</w:t>
            </w:r>
          </w:p>
        </w:tc>
        <w:tc>
          <w:tcPr>
            <w:tcW w:w="1404" w:type="pct"/>
            <w:vAlign w:val="bottom"/>
          </w:tcPr>
          <w:p w:rsidR="0081436D" w:rsidRDefault="00BD165F">
            <w:pPr>
              <w:pStyle w:val="18"/>
              <w:spacing w:line="360" w:lineRule="auto"/>
              <w:jc w:val="center"/>
              <w:rPr>
                <w:rFonts w:ascii="仿宋_GB2312" w:eastAsia="仿宋_GB2312" w:hAnsi="仿宋_GB2312"/>
                <w:color w:val="000000"/>
                <w:szCs w:val="21"/>
              </w:rPr>
            </w:pPr>
            <w:r>
              <w:rPr>
                <w:rFonts w:ascii="仿宋_GB2312" w:eastAsia="仿宋_GB2312" w:hAnsi="仿宋"/>
                <w:szCs w:val="21"/>
              </w:rPr>
              <w:t>邮箱</w:t>
            </w:r>
          </w:p>
        </w:tc>
        <w:tc>
          <w:tcPr>
            <w:tcW w:w="1770" w:type="pct"/>
            <w:vAlign w:val="bottom"/>
          </w:tcPr>
          <w:p w:rsidR="0081436D" w:rsidRDefault="00BD165F">
            <w:pPr>
              <w:pStyle w:val="18"/>
              <w:spacing w:line="360" w:lineRule="auto"/>
              <w:jc w:val="center"/>
              <w:rPr>
                <w:rFonts w:ascii="仿宋_GB2312" w:eastAsia="仿宋_GB2312" w:hAnsi="仿宋_GB2312"/>
                <w:color w:val="000000"/>
                <w:szCs w:val="21"/>
              </w:rPr>
            </w:pPr>
            <w:r>
              <w:rPr>
                <w:rFonts w:ascii="仿宋_GB2312" w:eastAsia="仿宋_GB2312" w:hAnsi="仿宋_GB2312"/>
                <w:color w:val="000000"/>
                <w:szCs w:val="21"/>
              </w:rPr>
              <w:t>岗位</w:t>
            </w:r>
          </w:p>
        </w:tc>
      </w:tr>
      <w:tr w:rsidR="0081436D">
        <w:trPr>
          <w:trHeight w:val="535"/>
          <w:jc w:val="center"/>
        </w:trPr>
        <w:tc>
          <w:tcPr>
            <w:tcW w:w="777" w:type="pct"/>
            <w:vAlign w:val="bottom"/>
          </w:tcPr>
          <w:p w:rsidR="0081436D" w:rsidRDefault="0081436D">
            <w:pPr>
              <w:pStyle w:val="18"/>
              <w:spacing w:line="360" w:lineRule="auto"/>
              <w:jc w:val="center"/>
              <w:rPr>
                <w:rFonts w:ascii="仿宋_GB2312" w:eastAsia="仿宋_GB2312" w:hAnsi="仿宋_GB2312"/>
                <w:color w:val="000000"/>
                <w:szCs w:val="21"/>
              </w:rPr>
            </w:pPr>
          </w:p>
        </w:tc>
        <w:tc>
          <w:tcPr>
            <w:tcW w:w="1047" w:type="pct"/>
            <w:vAlign w:val="bottom"/>
          </w:tcPr>
          <w:p w:rsidR="0081436D" w:rsidRDefault="0081436D">
            <w:pPr>
              <w:pStyle w:val="18"/>
              <w:spacing w:line="360" w:lineRule="auto"/>
              <w:jc w:val="center"/>
              <w:rPr>
                <w:rFonts w:ascii="仿宋_GB2312" w:eastAsia="仿宋_GB2312" w:hAnsi="仿宋_GB2312"/>
                <w:color w:val="000000"/>
                <w:szCs w:val="21"/>
              </w:rPr>
            </w:pPr>
          </w:p>
        </w:tc>
        <w:tc>
          <w:tcPr>
            <w:tcW w:w="1404" w:type="pct"/>
            <w:vAlign w:val="bottom"/>
          </w:tcPr>
          <w:p w:rsidR="0081436D" w:rsidRDefault="0081436D">
            <w:pPr>
              <w:pStyle w:val="18"/>
              <w:spacing w:line="360" w:lineRule="auto"/>
              <w:jc w:val="center"/>
              <w:rPr>
                <w:rFonts w:ascii="仿宋_GB2312" w:eastAsia="仿宋_GB2312" w:hAnsi="仿宋_GB2312"/>
                <w:color w:val="000000"/>
                <w:szCs w:val="21"/>
              </w:rPr>
            </w:pPr>
          </w:p>
        </w:tc>
        <w:tc>
          <w:tcPr>
            <w:tcW w:w="1770" w:type="pct"/>
            <w:vAlign w:val="bottom"/>
          </w:tcPr>
          <w:p w:rsidR="0081436D" w:rsidRDefault="0081436D">
            <w:pPr>
              <w:pStyle w:val="18"/>
              <w:spacing w:line="360" w:lineRule="auto"/>
              <w:jc w:val="center"/>
              <w:rPr>
                <w:rFonts w:ascii="仿宋_GB2312" w:eastAsia="仿宋_GB2312" w:hAnsi="仿宋_GB2312"/>
                <w:color w:val="000000"/>
                <w:szCs w:val="21"/>
              </w:rPr>
            </w:pPr>
          </w:p>
        </w:tc>
      </w:tr>
      <w:tr w:rsidR="0081436D">
        <w:trPr>
          <w:trHeight w:val="535"/>
          <w:jc w:val="center"/>
        </w:trPr>
        <w:tc>
          <w:tcPr>
            <w:tcW w:w="777" w:type="pct"/>
            <w:vAlign w:val="bottom"/>
          </w:tcPr>
          <w:p w:rsidR="0081436D" w:rsidRDefault="0081436D">
            <w:pPr>
              <w:pStyle w:val="18"/>
              <w:spacing w:line="360" w:lineRule="auto"/>
              <w:jc w:val="center"/>
              <w:rPr>
                <w:rFonts w:ascii="仿宋_GB2312" w:eastAsia="仿宋_GB2312" w:hAnsi="仿宋_GB2312"/>
                <w:color w:val="000000"/>
                <w:szCs w:val="21"/>
              </w:rPr>
            </w:pPr>
          </w:p>
        </w:tc>
        <w:tc>
          <w:tcPr>
            <w:tcW w:w="1047" w:type="pct"/>
            <w:vAlign w:val="bottom"/>
          </w:tcPr>
          <w:p w:rsidR="0081436D" w:rsidRDefault="0081436D">
            <w:pPr>
              <w:pStyle w:val="18"/>
              <w:spacing w:line="360" w:lineRule="auto"/>
              <w:jc w:val="center"/>
              <w:rPr>
                <w:rFonts w:ascii="仿宋_GB2312" w:eastAsia="仿宋_GB2312" w:hAnsi="仿宋_GB2312"/>
                <w:color w:val="000000"/>
                <w:szCs w:val="21"/>
              </w:rPr>
            </w:pPr>
          </w:p>
        </w:tc>
        <w:tc>
          <w:tcPr>
            <w:tcW w:w="1404" w:type="pct"/>
            <w:vAlign w:val="bottom"/>
          </w:tcPr>
          <w:p w:rsidR="0081436D" w:rsidRDefault="0081436D">
            <w:pPr>
              <w:pStyle w:val="18"/>
              <w:spacing w:line="360" w:lineRule="auto"/>
              <w:jc w:val="center"/>
              <w:rPr>
                <w:rFonts w:ascii="仿宋_GB2312" w:eastAsia="仿宋_GB2312" w:hAnsi="仿宋_GB2312"/>
                <w:color w:val="000000"/>
                <w:szCs w:val="21"/>
              </w:rPr>
            </w:pPr>
          </w:p>
        </w:tc>
        <w:tc>
          <w:tcPr>
            <w:tcW w:w="1770" w:type="pct"/>
            <w:vAlign w:val="bottom"/>
          </w:tcPr>
          <w:p w:rsidR="0081436D" w:rsidRDefault="0081436D">
            <w:pPr>
              <w:pStyle w:val="18"/>
              <w:spacing w:line="360" w:lineRule="auto"/>
              <w:jc w:val="center"/>
              <w:rPr>
                <w:rFonts w:ascii="仿宋_GB2312" w:eastAsia="仿宋_GB2312" w:hAnsi="仿宋_GB2312"/>
                <w:color w:val="000000"/>
                <w:szCs w:val="21"/>
              </w:rPr>
            </w:pPr>
          </w:p>
        </w:tc>
      </w:tr>
      <w:tr w:rsidR="0081436D">
        <w:trPr>
          <w:trHeight w:val="535"/>
          <w:jc w:val="center"/>
        </w:trPr>
        <w:tc>
          <w:tcPr>
            <w:tcW w:w="777" w:type="pct"/>
            <w:vAlign w:val="bottom"/>
          </w:tcPr>
          <w:p w:rsidR="0081436D" w:rsidRDefault="0081436D">
            <w:pPr>
              <w:pStyle w:val="18"/>
              <w:spacing w:line="360" w:lineRule="auto"/>
              <w:jc w:val="center"/>
              <w:rPr>
                <w:rFonts w:ascii="仿宋_GB2312" w:eastAsia="仿宋_GB2312" w:hAnsi="仿宋_GB2312"/>
                <w:color w:val="000000"/>
                <w:szCs w:val="21"/>
              </w:rPr>
            </w:pPr>
          </w:p>
        </w:tc>
        <w:tc>
          <w:tcPr>
            <w:tcW w:w="1047" w:type="pct"/>
            <w:vAlign w:val="bottom"/>
          </w:tcPr>
          <w:p w:rsidR="0081436D" w:rsidRDefault="0081436D">
            <w:pPr>
              <w:pStyle w:val="18"/>
              <w:spacing w:line="360" w:lineRule="auto"/>
              <w:jc w:val="center"/>
              <w:rPr>
                <w:rFonts w:ascii="仿宋_GB2312" w:eastAsia="仿宋_GB2312" w:hAnsi="仿宋_GB2312"/>
                <w:color w:val="000000"/>
                <w:szCs w:val="21"/>
              </w:rPr>
            </w:pPr>
          </w:p>
        </w:tc>
        <w:tc>
          <w:tcPr>
            <w:tcW w:w="1404" w:type="pct"/>
            <w:vAlign w:val="bottom"/>
          </w:tcPr>
          <w:p w:rsidR="0081436D" w:rsidRDefault="0081436D">
            <w:pPr>
              <w:pStyle w:val="18"/>
              <w:spacing w:line="360" w:lineRule="auto"/>
              <w:jc w:val="center"/>
              <w:rPr>
                <w:rFonts w:ascii="仿宋_GB2312" w:eastAsia="仿宋_GB2312" w:hAnsi="仿宋_GB2312"/>
                <w:color w:val="000000"/>
                <w:szCs w:val="21"/>
              </w:rPr>
            </w:pPr>
          </w:p>
        </w:tc>
        <w:tc>
          <w:tcPr>
            <w:tcW w:w="1770" w:type="pct"/>
            <w:vAlign w:val="bottom"/>
          </w:tcPr>
          <w:p w:rsidR="0081436D" w:rsidRDefault="0081436D">
            <w:pPr>
              <w:pStyle w:val="18"/>
              <w:spacing w:line="360" w:lineRule="auto"/>
              <w:jc w:val="center"/>
              <w:rPr>
                <w:rFonts w:ascii="仿宋_GB2312" w:eastAsia="仿宋_GB2312" w:hAnsi="仿宋_GB2312"/>
                <w:color w:val="000000"/>
                <w:szCs w:val="21"/>
              </w:rPr>
            </w:pPr>
          </w:p>
        </w:tc>
      </w:tr>
      <w:tr w:rsidR="0081436D">
        <w:trPr>
          <w:trHeight w:val="535"/>
          <w:jc w:val="center"/>
        </w:trPr>
        <w:tc>
          <w:tcPr>
            <w:tcW w:w="777" w:type="pct"/>
            <w:vAlign w:val="bottom"/>
          </w:tcPr>
          <w:p w:rsidR="0081436D" w:rsidRDefault="0081436D">
            <w:pPr>
              <w:pStyle w:val="18"/>
              <w:spacing w:line="360" w:lineRule="auto"/>
              <w:jc w:val="center"/>
              <w:rPr>
                <w:rFonts w:ascii="仿宋_GB2312" w:eastAsia="仿宋_GB2312" w:hAnsi="仿宋_GB2312"/>
                <w:color w:val="000000"/>
                <w:szCs w:val="21"/>
              </w:rPr>
            </w:pPr>
          </w:p>
        </w:tc>
        <w:tc>
          <w:tcPr>
            <w:tcW w:w="1047" w:type="pct"/>
            <w:vAlign w:val="bottom"/>
          </w:tcPr>
          <w:p w:rsidR="0081436D" w:rsidRDefault="0081436D">
            <w:pPr>
              <w:spacing w:line="360" w:lineRule="auto"/>
              <w:jc w:val="center"/>
              <w:rPr>
                <w:rFonts w:ascii="仿宋_GB2312" w:eastAsia="仿宋_GB2312" w:hAnsi="仿宋_GB2312"/>
                <w:color w:val="000000"/>
                <w:sz w:val="21"/>
                <w:szCs w:val="21"/>
                <w:lang w:bidi="en-US"/>
              </w:rPr>
            </w:pPr>
          </w:p>
        </w:tc>
        <w:tc>
          <w:tcPr>
            <w:tcW w:w="1404" w:type="pct"/>
            <w:vAlign w:val="bottom"/>
          </w:tcPr>
          <w:p w:rsidR="0081436D" w:rsidRDefault="0081436D">
            <w:pPr>
              <w:pStyle w:val="18"/>
              <w:spacing w:line="360" w:lineRule="auto"/>
              <w:jc w:val="center"/>
              <w:rPr>
                <w:rFonts w:ascii="仿宋_GB2312" w:eastAsia="仿宋_GB2312" w:hAnsi="仿宋_GB2312"/>
                <w:color w:val="000000"/>
                <w:szCs w:val="21"/>
              </w:rPr>
            </w:pPr>
          </w:p>
        </w:tc>
        <w:tc>
          <w:tcPr>
            <w:tcW w:w="1770" w:type="pct"/>
            <w:vAlign w:val="bottom"/>
          </w:tcPr>
          <w:p w:rsidR="0081436D" w:rsidRDefault="0081436D">
            <w:pPr>
              <w:pStyle w:val="18"/>
              <w:spacing w:line="360" w:lineRule="auto"/>
              <w:jc w:val="center"/>
              <w:rPr>
                <w:rFonts w:ascii="仿宋_GB2312" w:eastAsia="仿宋_GB2312" w:hAnsi="仿宋_GB2312"/>
                <w:color w:val="000000"/>
                <w:szCs w:val="21"/>
              </w:rPr>
            </w:pPr>
          </w:p>
        </w:tc>
      </w:tr>
      <w:tr w:rsidR="0081436D">
        <w:trPr>
          <w:trHeight w:val="535"/>
          <w:jc w:val="center"/>
        </w:trPr>
        <w:tc>
          <w:tcPr>
            <w:tcW w:w="777" w:type="pct"/>
            <w:vAlign w:val="bottom"/>
          </w:tcPr>
          <w:p w:rsidR="0081436D" w:rsidRDefault="0081436D">
            <w:pPr>
              <w:pStyle w:val="18"/>
              <w:spacing w:line="360" w:lineRule="auto"/>
              <w:jc w:val="center"/>
              <w:rPr>
                <w:rFonts w:ascii="仿宋_GB2312" w:eastAsia="仿宋_GB2312" w:hAnsi="仿宋_GB2312"/>
                <w:color w:val="000000"/>
                <w:szCs w:val="21"/>
              </w:rPr>
            </w:pPr>
          </w:p>
        </w:tc>
        <w:tc>
          <w:tcPr>
            <w:tcW w:w="1047" w:type="pct"/>
            <w:vAlign w:val="bottom"/>
          </w:tcPr>
          <w:p w:rsidR="0081436D" w:rsidRDefault="0081436D">
            <w:pPr>
              <w:spacing w:line="360" w:lineRule="auto"/>
              <w:jc w:val="center"/>
              <w:rPr>
                <w:rFonts w:ascii="仿宋_GB2312" w:eastAsia="仿宋_GB2312" w:hAnsi="仿宋_GB2312"/>
                <w:color w:val="000000"/>
                <w:sz w:val="21"/>
                <w:szCs w:val="21"/>
              </w:rPr>
            </w:pPr>
          </w:p>
        </w:tc>
        <w:tc>
          <w:tcPr>
            <w:tcW w:w="1404" w:type="pct"/>
            <w:vAlign w:val="bottom"/>
          </w:tcPr>
          <w:p w:rsidR="0081436D" w:rsidRDefault="0081436D">
            <w:pPr>
              <w:pStyle w:val="18"/>
              <w:spacing w:line="360" w:lineRule="auto"/>
              <w:jc w:val="center"/>
              <w:rPr>
                <w:rFonts w:ascii="仿宋_GB2312" w:eastAsia="仿宋_GB2312" w:hAnsi="仿宋_GB2312"/>
                <w:color w:val="000000"/>
                <w:szCs w:val="21"/>
              </w:rPr>
            </w:pPr>
          </w:p>
        </w:tc>
        <w:tc>
          <w:tcPr>
            <w:tcW w:w="1770" w:type="pct"/>
            <w:vAlign w:val="bottom"/>
          </w:tcPr>
          <w:p w:rsidR="0081436D" w:rsidRDefault="0081436D">
            <w:pPr>
              <w:pStyle w:val="18"/>
              <w:spacing w:line="360" w:lineRule="auto"/>
              <w:jc w:val="center"/>
              <w:rPr>
                <w:rFonts w:ascii="仿宋_GB2312" w:eastAsia="仿宋_GB2312" w:hAnsi="仿宋_GB2312"/>
                <w:color w:val="000000"/>
                <w:szCs w:val="21"/>
              </w:rPr>
            </w:pPr>
          </w:p>
        </w:tc>
      </w:tr>
      <w:tr w:rsidR="0081436D">
        <w:trPr>
          <w:trHeight w:val="535"/>
          <w:jc w:val="center"/>
        </w:trPr>
        <w:tc>
          <w:tcPr>
            <w:tcW w:w="777" w:type="pct"/>
            <w:vAlign w:val="bottom"/>
          </w:tcPr>
          <w:p w:rsidR="0081436D" w:rsidRDefault="0081436D">
            <w:pPr>
              <w:pStyle w:val="18"/>
              <w:spacing w:line="360" w:lineRule="auto"/>
              <w:jc w:val="center"/>
              <w:rPr>
                <w:rFonts w:ascii="仿宋_GB2312" w:eastAsia="仿宋_GB2312" w:hAnsi="仿宋_GB2312"/>
                <w:color w:val="000000"/>
                <w:szCs w:val="21"/>
              </w:rPr>
            </w:pPr>
          </w:p>
        </w:tc>
        <w:tc>
          <w:tcPr>
            <w:tcW w:w="1047" w:type="pct"/>
            <w:vAlign w:val="bottom"/>
          </w:tcPr>
          <w:p w:rsidR="0081436D" w:rsidRDefault="0081436D">
            <w:pPr>
              <w:spacing w:line="360" w:lineRule="auto"/>
              <w:jc w:val="center"/>
              <w:rPr>
                <w:rFonts w:ascii="仿宋_GB2312" w:eastAsia="仿宋_GB2312" w:hAnsi="仿宋_GB2312"/>
                <w:color w:val="000000"/>
                <w:sz w:val="21"/>
                <w:szCs w:val="21"/>
                <w:lang w:bidi="en-US"/>
              </w:rPr>
            </w:pPr>
          </w:p>
        </w:tc>
        <w:tc>
          <w:tcPr>
            <w:tcW w:w="1404" w:type="pct"/>
            <w:vAlign w:val="bottom"/>
          </w:tcPr>
          <w:p w:rsidR="0081436D" w:rsidRDefault="0081436D">
            <w:pPr>
              <w:pStyle w:val="18"/>
              <w:spacing w:line="360" w:lineRule="auto"/>
              <w:jc w:val="center"/>
              <w:rPr>
                <w:rFonts w:ascii="仿宋_GB2312" w:eastAsia="仿宋_GB2312" w:hAnsi="仿宋_GB2312"/>
                <w:color w:val="000000"/>
                <w:szCs w:val="21"/>
              </w:rPr>
            </w:pPr>
          </w:p>
        </w:tc>
        <w:tc>
          <w:tcPr>
            <w:tcW w:w="1770" w:type="pct"/>
            <w:vAlign w:val="bottom"/>
          </w:tcPr>
          <w:p w:rsidR="0081436D" w:rsidRDefault="0081436D">
            <w:pPr>
              <w:pStyle w:val="18"/>
              <w:spacing w:line="360" w:lineRule="auto"/>
              <w:jc w:val="center"/>
              <w:rPr>
                <w:rFonts w:ascii="仿宋_GB2312" w:eastAsia="仿宋_GB2312" w:hAnsi="仿宋_GB2312"/>
                <w:color w:val="000000"/>
                <w:szCs w:val="21"/>
              </w:rPr>
            </w:pPr>
          </w:p>
        </w:tc>
      </w:tr>
    </w:tbl>
    <w:p w:rsidR="0081436D" w:rsidRDefault="0081436D">
      <w:pPr>
        <w:spacing w:line="590" w:lineRule="exact"/>
        <w:rPr>
          <w:rFonts w:ascii="仿宋_GB2312" w:eastAsia="仿宋_GB2312" w:hAnsi="仿宋_GB2312"/>
          <w:b/>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49"/>
        <w:gridCol w:w="1741"/>
        <w:gridCol w:w="2063"/>
        <w:gridCol w:w="3320"/>
      </w:tblGrid>
      <w:tr w:rsidR="0081436D">
        <w:tc>
          <w:tcPr>
            <w:tcW w:w="8873" w:type="dxa"/>
            <w:gridSpan w:val="4"/>
            <w:tcBorders>
              <w:top w:val="single" w:sz="4" w:space="0" w:color="auto"/>
              <w:left w:val="single" w:sz="4" w:space="0" w:color="auto"/>
              <w:bottom w:val="single" w:sz="4" w:space="0" w:color="auto"/>
              <w:right w:val="single" w:sz="4" w:space="0" w:color="auto"/>
            </w:tcBorders>
            <w:shd w:val="clear" w:color="auto" w:fill="CCCCCC"/>
            <w:vAlign w:val="center"/>
          </w:tcPr>
          <w:p w:rsidR="0081436D" w:rsidRDefault="00BD165F">
            <w:pPr>
              <w:jc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中国建设银行股份有限公司北京市分行托管中心</w:t>
            </w:r>
          </w:p>
        </w:tc>
      </w:tr>
      <w:tr w:rsidR="0081436D">
        <w:trPr>
          <w:trHeight w:val="650"/>
        </w:trPr>
        <w:tc>
          <w:tcPr>
            <w:tcW w:w="8873" w:type="dxa"/>
            <w:gridSpan w:val="4"/>
            <w:tcBorders>
              <w:top w:val="single" w:sz="4" w:space="0" w:color="auto"/>
              <w:left w:val="single" w:sz="4" w:space="0" w:color="auto"/>
              <w:bottom w:val="single" w:sz="4" w:space="0" w:color="auto"/>
              <w:right w:val="single" w:sz="4" w:space="0" w:color="auto"/>
            </w:tcBorders>
          </w:tcPr>
          <w:p w:rsidR="0081436D" w:rsidRDefault="0081436D">
            <w:pPr>
              <w:rPr>
                <w:rFonts w:ascii="仿宋_GB2312" w:eastAsia="仿宋_GB2312" w:hAnsi="仿宋_GB2312" w:cs="仿宋_GB2312"/>
                <w:color w:val="000000"/>
                <w:sz w:val="24"/>
              </w:rPr>
            </w:pPr>
          </w:p>
        </w:tc>
      </w:tr>
      <w:tr w:rsidR="0081436D">
        <w:tblPrEx>
          <w:tblBorders>
            <w:top w:val="none" w:sz="0" w:space="0" w:color="auto"/>
            <w:left w:val="none" w:sz="0" w:space="0" w:color="auto"/>
            <w:bottom w:val="none" w:sz="0" w:space="0" w:color="auto"/>
            <w:right w:val="none" w:sz="0" w:space="0" w:color="auto"/>
          </w:tblBorders>
        </w:tblPrEx>
        <w:trPr>
          <w:trHeight w:val="312"/>
        </w:trPr>
        <w:tc>
          <w:tcPr>
            <w:tcW w:w="1749" w:type="dxa"/>
            <w:tcBorders>
              <w:top w:val="single" w:sz="4" w:space="0" w:color="auto"/>
              <w:left w:val="single" w:sz="4" w:space="0" w:color="auto"/>
              <w:bottom w:val="single" w:sz="4" w:space="0" w:color="auto"/>
              <w:right w:val="single" w:sz="4" w:space="0" w:color="auto"/>
            </w:tcBorders>
            <w:vAlign w:val="bottom"/>
          </w:tcPr>
          <w:p w:rsidR="0081436D" w:rsidRDefault="0081436D">
            <w:pPr>
              <w:rPr>
                <w:rFonts w:ascii="仿宋_GB2312" w:eastAsia="仿宋_GB2312" w:hAnsi="仿宋_GB2312" w:cs="仿宋_GB2312"/>
                <w:color w:val="000000"/>
                <w:sz w:val="24"/>
              </w:rPr>
            </w:pPr>
          </w:p>
        </w:tc>
        <w:tc>
          <w:tcPr>
            <w:tcW w:w="1741" w:type="dxa"/>
            <w:tcBorders>
              <w:top w:val="single" w:sz="4" w:space="0" w:color="auto"/>
              <w:left w:val="nil"/>
              <w:bottom w:val="single" w:sz="4" w:space="0" w:color="auto"/>
              <w:right w:val="single" w:sz="4" w:space="0" w:color="auto"/>
            </w:tcBorders>
            <w:vAlign w:val="bottom"/>
          </w:tcPr>
          <w:p w:rsidR="0081436D" w:rsidRDefault="0081436D">
            <w:pPr>
              <w:rPr>
                <w:rFonts w:ascii="仿宋_GB2312" w:eastAsia="仿宋_GB2312" w:hAnsi="仿宋_GB2312" w:cs="仿宋_GB2312"/>
                <w:color w:val="000000"/>
                <w:sz w:val="24"/>
              </w:rPr>
            </w:pPr>
          </w:p>
        </w:tc>
        <w:tc>
          <w:tcPr>
            <w:tcW w:w="2063" w:type="dxa"/>
            <w:tcBorders>
              <w:top w:val="single" w:sz="4" w:space="0" w:color="auto"/>
              <w:left w:val="nil"/>
              <w:bottom w:val="single" w:sz="4" w:space="0" w:color="auto"/>
              <w:right w:val="single" w:sz="4" w:space="0" w:color="auto"/>
            </w:tcBorders>
            <w:vAlign w:val="bottom"/>
          </w:tcPr>
          <w:p w:rsidR="0081436D" w:rsidRDefault="0081436D">
            <w:pPr>
              <w:rPr>
                <w:rFonts w:ascii="仿宋_GB2312" w:eastAsia="仿宋_GB2312" w:hAnsi="仿宋_GB2312" w:cs="仿宋_GB2312"/>
                <w:color w:val="000000"/>
                <w:sz w:val="24"/>
              </w:rPr>
            </w:pPr>
          </w:p>
        </w:tc>
        <w:tc>
          <w:tcPr>
            <w:tcW w:w="3320" w:type="dxa"/>
            <w:tcBorders>
              <w:top w:val="single" w:sz="4" w:space="0" w:color="auto"/>
              <w:left w:val="nil"/>
              <w:bottom w:val="single" w:sz="4" w:space="0" w:color="auto"/>
              <w:right w:val="single" w:sz="4" w:space="0" w:color="auto"/>
            </w:tcBorders>
          </w:tcPr>
          <w:p w:rsidR="0081436D" w:rsidRDefault="0081436D">
            <w:pPr>
              <w:rPr>
                <w:rFonts w:ascii="仿宋_GB2312" w:eastAsia="仿宋_GB2312" w:hAnsi="仿宋_GB2312" w:cs="仿宋_GB2312"/>
                <w:color w:val="000000"/>
                <w:sz w:val="24"/>
              </w:rPr>
            </w:pPr>
          </w:p>
        </w:tc>
      </w:tr>
      <w:tr w:rsidR="0081436D">
        <w:tblPrEx>
          <w:tblBorders>
            <w:top w:val="none" w:sz="0" w:space="0" w:color="auto"/>
            <w:left w:val="none" w:sz="0" w:space="0" w:color="auto"/>
            <w:bottom w:val="none" w:sz="0" w:space="0" w:color="auto"/>
            <w:right w:val="none" w:sz="0" w:space="0" w:color="auto"/>
          </w:tblBorders>
        </w:tblPrEx>
        <w:trPr>
          <w:trHeight w:val="312"/>
        </w:trPr>
        <w:tc>
          <w:tcPr>
            <w:tcW w:w="1749" w:type="dxa"/>
            <w:tcBorders>
              <w:top w:val="single" w:sz="4" w:space="0" w:color="auto"/>
              <w:left w:val="single" w:sz="4" w:space="0" w:color="auto"/>
              <w:bottom w:val="single" w:sz="4" w:space="0" w:color="auto"/>
              <w:right w:val="single" w:sz="4" w:space="0" w:color="auto"/>
            </w:tcBorders>
            <w:vAlign w:val="bottom"/>
          </w:tcPr>
          <w:p w:rsidR="0081436D" w:rsidRDefault="0081436D">
            <w:pPr>
              <w:rPr>
                <w:rFonts w:ascii="仿宋_GB2312" w:eastAsia="仿宋_GB2312" w:hAnsi="仿宋_GB2312" w:cs="仿宋_GB2312"/>
                <w:color w:val="000000"/>
                <w:sz w:val="24"/>
              </w:rPr>
            </w:pPr>
          </w:p>
        </w:tc>
        <w:tc>
          <w:tcPr>
            <w:tcW w:w="1741" w:type="dxa"/>
            <w:tcBorders>
              <w:top w:val="single" w:sz="4" w:space="0" w:color="auto"/>
              <w:left w:val="nil"/>
              <w:bottom w:val="single" w:sz="4" w:space="0" w:color="auto"/>
              <w:right w:val="single" w:sz="4" w:space="0" w:color="auto"/>
            </w:tcBorders>
            <w:vAlign w:val="bottom"/>
          </w:tcPr>
          <w:p w:rsidR="0081436D" w:rsidRDefault="0081436D">
            <w:pPr>
              <w:rPr>
                <w:rFonts w:ascii="仿宋_GB2312" w:eastAsia="仿宋_GB2312" w:hAnsi="仿宋_GB2312" w:cs="仿宋_GB2312"/>
                <w:color w:val="000000"/>
                <w:sz w:val="24"/>
              </w:rPr>
            </w:pPr>
          </w:p>
        </w:tc>
        <w:tc>
          <w:tcPr>
            <w:tcW w:w="2063" w:type="dxa"/>
            <w:tcBorders>
              <w:top w:val="single" w:sz="4" w:space="0" w:color="auto"/>
              <w:left w:val="nil"/>
              <w:bottom w:val="single" w:sz="4" w:space="0" w:color="auto"/>
              <w:right w:val="single" w:sz="4" w:space="0" w:color="auto"/>
            </w:tcBorders>
            <w:vAlign w:val="bottom"/>
          </w:tcPr>
          <w:p w:rsidR="0081436D" w:rsidRDefault="0081436D">
            <w:pPr>
              <w:rPr>
                <w:rFonts w:ascii="仿宋_GB2312" w:eastAsia="仿宋_GB2312" w:hAnsi="仿宋_GB2312" w:cs="仿宋_GB2312"/>
                <w:color w:val="000000"/>
                <w:sz w:val="24"/>
              </w:rPr>
            </w:pPr>
          </w:p>
        </w:tc>
        <w:tc>
          <w:tcPr>
            <w:tcW w:w="3320" w:type="dxa"/>
            <w:tcBorders>
              <w:top w:val="single" w:sz="4" w:space="0" w:color="auto"/>
              <w:left w:val="nil"/>
              <w:bottom w:val="single" w:sz="4" w:space="0" w:color="auto"/>
              <w:right w:val="single" w:sz="4" w:space="0" w:color="auto"/>
            </w:tcBorders>
            <w:vAlign w:val="bottom"/>
          </w:tcPr>
          <w:p w:rsidR="0081436D" w:rsidRDefault="0081436D">
            <w:pPr>
              <w:rPr>
                <w:rFonts w:ascii="仿宋_GB2312" w:eastAsia="仿宋_GB2312" w:hAnsi="仿宋_GB2312" w:cs="仿宋_GB2312"/>
                <w:color w:val="000000"/>
                <w:sz w:val="24"/>
              </w:rPr>
            </w:pPr>
          </w:p>
        </w:tc>
      </w:tr>
      <w:tr w:rsidR="0081436D">
        <w:tblPrEx>
          <w:tblBorders>
            <w:top w:val="none" w:sz="0" w:space="0" w:color="auto"/>
            <w:left w:val="none" w:sz="0" w:space="0" w:color="auto"/>
            <w:bottom w:val="none" w:sz="0" w:space="0" w:color="auto"/>
            <w:right w:val="none" w:sz="0" w:space="0" w:color="auto"/>
          </w:tblBorders>
        </w:tblPrEx>
        <w:trPr>
          <w:trHeight w:val="312"/>
        </w:trPr>
        <w:tc>
          <w:tcPr>
            <w:tcW w:w="1749" w:type="dxa"/>
            <w:vMerge w:val="restart"/>
            <w:tcBorders>
              <w:top w:val="nil"/>
              <w:left w:val="single" w:sz="4" w:space="0" w:color="auto"/>
              <w:right w:val="single" w:sz="4" w:space="0" w:color="auto"/>
            </w:tcBorders>
            <w:vAlign w:val="center"/>
          </w:tcPr>
          <w:p w:rsidR="0081436D" w:rsidRDefault="0081436D">
            <w:pPr>
              <w:rPr>
                <w:rFonts w:ascii="仿宋_GB2312" w:eastAsia="仿宋_GB2312" w:hAnsi="仿宋_GB2312" w:cs="仿宋_GB2312"/>
                <w:color w:val="000000"/>
                <w:sz w:val="24"/>
              </w:rPr>
            </w:pPr>
          </w:p>
        </w:tc>
        <w:tc>
          <w:tcPr>
            <w:tcW w:w="1741" w:type="dxa"/>
            <w:tcBorders>
              <w:top w:val="nil"/>
              <w:left w:val="nil"/>
              <w:bottom w:val="single" w:sz="4" w:space="0" w:color="auto"/>
              <w:right w:val="single" w:sz="4" w:space="0" w:color="auto"/>
            </w:tcBorders>
            <w:vAlign w:val="bottom"/>
          </w:tcPr>
          <w:p w:rsidR="0081436D" w:rsidRDefault="0081436D">
            <w:pPr>
              <w:rPr>
                <w:rFonts w:ascii="仿宋_GB2312" w:eastAsia="仿宋_GB2312" w:hAnsi="仿宋_GB2312" w:cs="仿宋_GB2312"/>
                <w:color w:val="000000"/>
                <w:sz w:val="24"/>
              </w:rPr>
            </w:pPr>
          </w:p>
        </w:tc>
        <w:tc>
          <w:tcPr>
            <w:tcW w:w="2063" w:type="dxa"/>
            <w:tcBorders>
              <w:top w:val="nil"/>
              <w:left w:val="nil"/>
              <w:bottom w:val="single" w:sz="4" w:space="0" w:color="auto"/>
              <w:right w:val="single" w:sz="4" w:space="0" w:color="auto"/>
            </w:tcBorders>
            <w:vAlign w:val="bottom"/>
          </w:tcPr>
          <w:p w:rsidR="0081436D" w:rsidRDefault="0081436D">
            <w:pPr>
              <w:rPr>
                <w:rFonts w:ascii="仿宋_GB2312" w:eastAsia="仿宋_GB2312" w:hAnsi="仿宋_GB2312" w:cs="仿宋_GB2312"/>
                <w:color w:val="000000"/>
                <w:sz w:val="24"/>
              </w:rPr>
            </w:pPr>
          </w:p>
        </w:tc>
        <w:tc>
          <w:tcPr>
            <w:tcW w:w="3320" w:type="dxa"/>
            <w:tcBorders>
              <w:top w:val="nil"/>
              <w:left w:val="nil"/>
              <w:bottom w:val="single" w:sz="4" w:space="0" w:color="auto"/>
              <w:right w:val="single" w:sz="4" w:space="0" w:color="auto"/>
            </w:tcBorders>
            <w:vAlign w:val="bottom"/>
          </w:tcPr>
          <w:p w:rsidR="0081436D" w:rsidRDefault="0081436D">
            <w:pPr>
              <w:rPr>
                <w:rFonts w:ascii="仿宋_GB2312" w:eastAsia="仿宋_GB2312" w:hAnsi="仿宋_GB2312" w:cs="仿宋_GB2312"/>
                <w:color w:val="000000"/>
                <w:sz w:val="24"/>
              </w:rPr>
            </w:pPr>
          </w:p>
        </w:tc>
      </w:tr>
      <w:tr w:rsidR="0081436D">
        <w:tblPrEx>
          <w:tblBorders>
            <w:top w:val="none" w:sz="0" w:space="0" w:color="auto"/>
            <w:left w:val="none" w:sz="0" w:space="0" w:color="auto"/>
            <w:bottom w:val="none" w:sz="0" w:space="0" w:color="auto"/>
            <w:right w:val="none" w:sz="0" w:space="0" w:color="auto"/>
          </w:tblBorders>
        </w:tblPrEx>
        <w:trPr>
          <w:trHeight w:val="312"/>
        </w:trPr>
        <w:tc>
          <w:tcPr>
            <w:tcW w:w="1749" w:type="dxa"/>
            <w:vMerge/>
            <w:tcBorders>
              <w:left w:val="single" w:sz="4" w:space="0" w:color="auto"/>
              <w:bottom w:val="single" w:sz="4" w:space="0" w:color="auto"/>
              <w:right w:val="single" w:sz="4" w:space="0" w:color="auto"/>
            </w:tcBorders>
            <w:vAlign w:val="center"/>
          </w:tcPr>
          <w:p w:rsidR="0081436D" w:rsidRDefault="0081436D">
            <w:pPr>
              <w:rPr>
                <w:rFonts w:ascii="仿宋_GB2312" w:eastAsia="仿宋_GB2312" w:hAnsi="仿宋_GB2312" w:cs="仿宋_GB2312"/>
                <w:color w:val="000000"/>
                <w:sz w:val="24"/>
              </w:rPr>
            </w:pPr>
          </w:p>
        </w:tc>
        <w:tc>
          <w:tcPr>
            <w:tcW w:w="1741" w:type="dxa"/>
            <w:tcBorders>
              <w:top w:val="nil"/>
              <w:left w:val="nil"/>
              <w:bottom w:val="single" w:sz="4" w:space="0" w:color="auto"/>
              <w:right w:val="single" w:sz="4" w:space="0" w:color="auto"/>
            </w:tcBorders>
            <w:vAlign w:val="bottom"/>
          </w:tcPr>
          <w:p w:rsidR="0081436D" w:rsidRDefault="0081436D">
            <w:pPr>
              <w:rPr>
                <w:rFonts w:ascii="仿宋_GB2312" w:eastAsia="仿宋_GB2312" w:hAnsi="仿宋_GB2312" w:cs="仿宋_GB2312"/>
                <w:color w:val="000000"/>
                <w:sz w:val="24"/>
              </w:rPr>
            </w:pPr>
          </w:p>
        </w:tc>
        <w:tc>
          <w:tcPr>
            <w:tcW w:w="2063" w:type="dxa"/>
            <w:tcBorders>
              <w:top w:val="nil"/>
              <w:left w:val="nil"/>
              <w:bottom w:val="single" w:sz="4" w:space="0" w:color="auto"/>
              <w:right w:val="single" w:sz="4" w:space="0" w:color="auto"/>
            </w:tcBorders>
            <w:vAlign w:val="bottom"/>
          </w:tcPr>
          <w:p w:rsidR="0081436D" w:rsidRDefault="0081436D">
            <w:pPr>
              <w:rPr>
                <w:rFonts w:ascii="仿宋_GB2312" w:eastAsia="仿宋_GB2312" w:hAnsi="仿宋_GB2312" w:cs="仿宋_GB2312"/>
                <w:color w:val="000000"/>
                <w:sz w:val="24"/>
              </w:rPr>
            </w:pPr>
          </w:p>
        </w:tc>
        <w:tc>
          <w:tcPr>
            <w:tcW w:w="3320" w:type="dxa"/>
            <w:tcBorders>
              <w:top w:val="nil"/>
              <w:left w:val="nil"/>
              <w:bottom w:val="single" w:sz="4" w:space="0" w:color="auto"/>
              <w:right w:val="single" w:sz="4" w:space="0" w:color="auto"/>
            </w:tcBorders>
            <w:vAlign w:val="bottom"/>
          </w:tcPr>
          <w:p w:rsidR="0081436D" w:rsidRDefault="0081436D">
            <w:pPr>
              <w:rPr>
                <w:rFonts w:ascii="仿宋_GB2312" w:eastAsia="仿宋_GB2312" w:hAnsi="仿宋_GB2312" w:cs="仿宋_GB2312"/>
                <w:color w:val="000000"/>
                <w:sz w:val="24"/>
              </w:rPr>
            </w:pPr>
          </w:p>
        </w:tc>
      </w:tr>
      <w:tr w:rsidR="0081436D">
        <w:tblPrEx>
          <w:tblBorders>
            <w:top w:val="none" w:sz="0" w:space="0" w:color="auto"/>
            <w:left w:val="none" w:sz="0" w:space="0" w:color="auto"/>
            <w:bottom w:val="none" w:sz="0" w:space="0" w:color="auto"/>
            <w:right w:val="none" w:sz="0" w:space="0" w:color="auto"/>
          </w:tblBorders>
        </w:tblPrEx>
        <w:trPr>
          <w:trHeight w:val="312"/>
        </w:trPr>
        <w:tc>
          <w:tcPr>
            <w:tcW w:w="1749" w:type="dxa"/>
            <w:tcBorders>
              <w:top w:val="single" w:sz="4" w:space="0" w:color="auto"/>
              <w:left w:val="single" w:sz="4" w:space="0" w:color="auto"/>
              <w:bottom w:val="single" w:sz="4" w:space="0" w:color="auto"/>
              <w:right w:val="single" w:sz="4" w:space="0" w:color="auto"/>
            </w:tcBorders>
            <w:vAlign w:val="center"/>
          </w:tcPr>
          <w:p w:rsidR="0081436D" w:rsidRDefault="0081436D">
            <w:pPr>
              <w:rPr>
                <w:rFonts w:ascii="仿宋_GB2312" w:eastAsia="仿宋_GB2312" w:hAnsi="仿宋_GB2312" w:cs="仿宋_GB2312"/>
                <w:color w:val="000000"/>
                <w:sz w:val="24"/>
              </w:rPr>
            </w:pPr>
          </w:p>
        </w:tc>
        <w:tc>
          <w:tcPr>
            <w:tcW w:w="1741" w:type="dxa"/>
            <w:tcBorders>
              <w:top w:val="single" w:sz="4" w:space="0" w:color="auto"/>
              <w:left w:val="nil"/>
              <w:bottom w:val="single" w:sz="4" w:space="0" w:color="auto"/>
              <w:right w:val="single" w:sz="4" w:space="0" w:color="auto"/>
            </w:tcBorders>
            <w:vAlign w:val="bottom"/>
          </w:tcPr>
          <w:p w:rsidR="0081436D" w:rsidRDefault="0081436D">
            <w:pPr>
              <w:rPr>
                <w:rFonts w:ascii="仿宋_GB2312" w:eastAsia="仿宋_GB2312" w:hAnsi="仿宋_GB2312" w:cs="仿宋_GB2312"/>
                <w:color w:val="000000"/>
                <w:sz w:val="24"/>
              </w:rPr>
            </w:pPr>
          </w:p>
        </w:tc>
        <w:tc>
          <w:tcPr>
            <w:tcW w:w="2063" w:type="dxa"/>
            <w:tcBorders>
              <w:top w:val="nil"/>
              <w:left w:val="nil"/>
              <w:bottom w:val="single" w:sz="4" w:space="0" w:color="auto"/>
              <w:right w:val="single" w:sz="4" w:space="0" w:color="auto"/>
            </w:tcBorders>
            <w:vAlign w:val="bottom"/>
          </w:tcPr>
          <w:p w:rsidR="0081436D" w:rsidRDefault="0081436D">
            <w:pPr>
              <w:rPr>
                <w:rFonts w:ascii="仿宋_GB2312" w:eastAsia="仿宋_GB2312" w:hAnsi="仿宋_GB2312" w:cs="仿宋_GB2312"/>
                <w:color w:val="000000"/>
                <w:sz w:val="24"/>
              </w:rPr>
            </w:pPr>
          </w:p>
        </w:tc>
        <w:tc>
          <w:tcPr>
            <w:tcW w:w="3320" w:type="dxa"/>
            <w:tcBorders>
              <w:top w:val="nil"/>
              <w:left w:val="nil"/>
              <w:bottom w:val="single" w:sz="4" w:space="0" w:color="auto"/>
              <w:right w:val="single" w:sz="4" w:space="0" w:color="auto"/>
            </w:tcBorders>
            <w:vAlign w:val="bottom"/>
          </w:tcPr>
          <w:p w:rsidR="0081436D" w:rsidRDefault="0081436D">
            <w:pPr>
              <w:rPr>
                <w:rFonts w:ascii="仿宋_GB2312" w:eastAsia="仿宋_GB2312" w:hAnsi="仿宋_GB2312" w:cs="仿宋_GB2312"/>
                <w:color w:val="000000"/>
                <w:sz w:val="24"/>
              </w:rPr>
            </w:pPr>
          </w:p>
        </w:tc>
      </w:tr>
      <w:tr w:rsidR="0081436D">
        <w:tblPrEx>
          <w:tblBorders>
            <w:top w:val="none" w:sz="0" w:space="0" w:color="auto"/>
            <w:left w:val="none" w:sz="0" w:space="0" w:color="auto"/>
            <w:bottom w:val="none" w:sz="0" w:space="0" w:color="auto"/>
            <w:right w:val="none" w:sz="0" w:space="0" w:color="auto"/>
          </w:tblBorders>
        </w:tblPrEx>
        <w:trPr>
          <w:trHeight w:val="312"/>
        </w:trPr>
        <w:tc>
          <w:tcPr>
            <w:tcW w:w="1749" w:type="dxa"/>
            <w:vMerge w:val="restart"/>
            <w:tcBorders>
              <w:top w:val="nil"/>
              <w:left w:val="single" w:sz="4" w:space="0" w:color="auto"/>
              <w:bottom w:val="single" w:sz="4" w:space="0" w:color="auto"/>
              <w:right w:val="single" w:sz="4" w:space="0" w:color="auto"/>
            </w:tcBorders>
            <w:vAlign w:val="center"/>
          </w:tcPr>
          <w:p w:rsidR="0081436D" w:rsidRDefault="0081436D">
            <w:pPr>
              <w:rPr>
                <w:rFonts w:ascii="仿宋_GB2312" w:eastAsia="仿宋_GB2312" w:hAnsi="仿宋_GB2312" w:cs="仿宋_GB2312"/>
                <w:color w:val="000000"/>
                <w:sz w:val="24"/>
              </w:rPr>
            </w:pPr>
          </w:p>
        </w:tc>
        <w:tc>
          <w:tcPr>
            <w:tcW w:w="7124" w:type="dxa"/>
            <w:gridSpan w:val="3"/>
            <w:tcBorders>
              <w:top w:val="single" w:sz="4" w:space="0" w:color="auto"/>
              <w:left w:val="nil"/>
              <w:bottom w:val="single" w:sz="4" w:space="0" w:color="auto"/>
              <w:right w:val="single" w:sz="4" w:space="0" w:color="auto"/>
            </w:tcBorders>
            <w:vAlign w:val="bottom"/>
          </w:tcPr>
          <w:p w:rsidR="0081436D" w:rsidRDefault="0081436D">
            <w:pPr>
              <w:rPr>
                <w:rFonts w:ascii="仿宋_GB2312" w:eastAsia="仿宋_GB2312" w:hAnsi="仿宋_GB2312" w:cs="仿宋_GB2312"/>
                <w:color w:val="000000"/>
                <w:sz w:val="24"/>
              </w:rPr>
            </w:pPr>
          </w:p>
        </w:tc>
      </w:tr>
      <w:tr w:rsidR="0081436D">
        <w:tblPrEx>
          <w:tblBorders>
            <w:top w:val="none" w:sz="0" w:space="0" w:color="auto"/>
            <w:left w:val="none" w:sz="0" w:space="0" w:color="auto"/>
            <w:bottom w:val="none" w:sz="0" w:space="0" w:color="auto"/>
            <w:right w:val="none" w:sz="0" w:space="0" w:color="auto"/>
          </w:tblBorders>
        </w:tblPrEx>
        <w:trPr>
          <w:trHeight w:val="312"/>
        </w:trPr>
        <w:tc>
          <w:tcPr>
            <w:tcW w:w="1749" w:type="dxa"/>
            <w:vMerge/>
            <w:tcBorders>
              <w:top w:val="nil"/>
              <w:left w:val="single" w:sz="4" w:space="0" w:color="auto"/>
              <w:bottom w:val="single" w:sz="4" w:space="0" w:color="auto"/>
              <w:right w:val="single" w:sz="4" w:space="0" w:color="auto"/>
            </w:tcBorders>
            <w:vAlign w:val="center"/>
          </w:tcPr>
          <w:p w:rsidR="0081436D" w:rsidRDefault="0081436D">
            <w:pPr>
              <w:rPr>
                <w:rFonts w:ascii="仿宋_GB2312" w:eastAsia="仿宋_GB2312" w:hAnsi="仿宋_GB2312" w:cs="仿宋_GB2312"/>
                <w:color w:val="000000"/>
                <w:sz w:val="24"/>
              </w:rPr>
            </w:pPr>
          </w:p>
        </w:tc>
        <w:tc>
          <w:tcPr>
            <w:tcW w:w="7124" w:type="dxa"/>
            <w:gridSpan w:val="3"/>
            <w:tcBorders>
              <w:top w:val="nil"/>
              <w:left w:val="nil"/>
              <w:bottom w:val="single" w:sz="4" w:space="0" w:color="auto"/>
              <w:right w:val="single" w:sz="4" w:space="0" w:color="auto"/>
            </w:tcBorders>
            <w:vAlign w:val="bottom"/>
          </w:tcPr>
          <w:p w:rsidR="0081436D" w:rsidRDefault="0081436D">
            <w:pPr>
              <w:rPr>
                <w:rFonts w:ascii="仿宋_GB2312" w:eastAsia="仿宋_GB2312" w:hAnsi="仿宋_GB2312" w:cs="仿宋_GB2312"/>
                <w:color w:val="000000"/>
                <w:sz w:val="24"/>
              </w:rPr>
            </w:pPr>
          </w:p>
        </w:tc>
      </w:tr>
      <w:tr w:rsidR="0081436D">
        <w:tblPrEx>
          <w:tblBorders>
            <w:top w:val="none" w:sz="0" w:space="0" w:color="auto"/>
            <w:left w:val="none" w:sz="0" w:space="0" w:color="auto"/>
            <w:bottom w:val="none" w:sz="0" w:space="0" w:color="auto"/>
            <w:right w:val="none" w:sz="0" w:space="0" w:color="auto"/>
          </w:tblBorders>
        </w:tblPrEx>
        <w:trPr>
          <w:trHeight w:val="312"/>
        </w:trPr>
        <w:tc>
          <w:tcPr>
            <w:tcW w:w="1749" w:type="dxa"/>
            <w:vMerge/>
            <w:tcBorders>
              <w:top w:val="nil"/>
              <w:left w:val="single" w:sz="4" w:space="0" w:color="auto"/>
              <w:bottom w:val="single" w:sz="4" w:space="0" w:color="auto"/>
              <w:right w:val="single" w:sz="4" w:space="0" w:color="auto"/>
            </w:tcBorders>
            <w:vAlign w:val="center"/>
          </w:tcPr>
          <w:p w:rsidR="0081436D" w:rsidRDefault="0081436D">
            <w:pPr>
              <w:rPr>
                <w:rFonts w:ascii="仿宋_GB2312" w:eastAsia="仿宋_GB2312" w:hAnsi="仿宋_GB2312" w:cs="仿宋_GB2312"/>
                <w:color w:val="000000"/>
                <w:sz w:val="24"/>
              </w:rPr>
            </w:pPr>
          </w:p>
        </w:tc>
        <w:tc>
          <w:tcPr>
            <w:tcW w:w="1741" w:type="dxa"/>
            <w:tcBorders>
              <w:top w:val="nil"/>
              <w:left w:val="nil"/>
              <w:bottom w:val="single" w:sz="4" w:space="0" w:color="auto"/>
              <w:right w:val="single" w:sz="4" w:space="0" w:color="auto"/>
            </w:tcBorders>
            <w:vAlign w:val="bottom"/>
          </w:tcPr>
          <w:p w:rsidR="0081436D" w:rsidRDefault="0081436D">
            <w:pPr>
              <w:rPr>
                <w:rFonts w:ascii="仿宋_GB2312" w:eastAsia="仿宋_GB2312" w:hAnsi="仿宋_GB2312" w:cs="仿宋_GB2312"/>
                <w:color w:val="000000"/>
                <w:sz w:val="24"/>
              </w:rPr>
            </w:pPr>
          </w:p>
        </w:tc>
        <w:tc>
          <w:tcPr>
            <w:tcW w:w="5383" w:type="dxa"/>
            <w:gridSpan w:val="2"/>
            <w:tcBorders>
              <w:top w:val="nil"/>
              <w:left w:val="nil"/>
              <w:bottom w:val="single" w:sz="4" w:space="0" w:color="auto"/>
              <w:right w:val="single" w:sz="4" w:space="0" w:color="auto"/>
            </w:tcBorders>
            <w:vAlign w:val="bottom"/>
          </w:tcPr>
          <w:p w:rsidR="0081436D" w:rsidRDefault="0081436D">
            <w:pPr>
              <w:rPr>
                <w:rFonts w:ascii="仿宋_GB2312" w:eastAsia="仿宋_GB2312" w:hAnsi="仿宋_GB2312" w:cs="仿宋_GB2312"/>
                <w:b/>
                <w:color w:val="000000"/>
                <w:sz w:val="24"/>
              </w:rPr>
            </w:pPr>
          </w:p>
        </w:tc>
      </w:tr>
      <w:tr w:rsidR="0081436D">
        <w:tblPrEx>
          <w:tblBorders>
            <w:top w:val="none" w:sz="0" w:space="0" w:color="auto"/>
            <w:left w:val="none" w:sz="0" w:space="0" w:color="auto"/>
            <w:bottom w:val="none" w:sz="0" w:space="0" w:color="auto"/>
            <w:right w:val="none" w:sz="0" w:space="0" w:color="auto"/>
          </w:tblBorders>
        </w:tblPrEx>
        <w:trPr>
          <w:trHeight w:val="312"/>
        </w:trPr>
        <w:tc>
          <w:tcPr>
            <w:tcW w:w="1749" w:type="dxa"/>
            <w:vMerge/>
            <w:tcBorders>
              <w:top w:val="nil"/>
              <w:left w:val="single" w:sz="4" w:space="0" w:color="auto"/>
              <w:bottom w:val="single" w:sz="4" w:space="0" w:color="auto"/>
              <w:right w:val="single" w:sz="4" w:space="0" w:color="auto"/>
            </w:tcBorders>
            <w:vAlign w:val="center"/>
          </w:tcPr>
          <w:p w:rsidR="0081436D" w:rsidRDefault="0081436D">
            <w:pPr>
              <w:rPr>
                <w:rFonts w:ascii="仿宋_GB2312" w:eastAsia="仿宋_GB2312" w:hAnsi="仿宋_GB2312" w:cs="仿宋_GB2312"/>
                <w:color w:val="000000"/>
                <w:sz w:val="24"/>
              </w:rPr>
            </w:pPr>
          </w:p>
        </w:tc>
        <w:tc>
          <w:tcPr>
            <w:tcW w:w="1741" w:type="dxa"/>
            <w:tcBorders>
              <w:top w:val="nil"/>
              <w:left w:val="nil"/>
              <w:bottom w:val="single" w:sz="4" w:space="0" w:color="auto"/>
              <w:right w:val="single" w:sz="4" w:space="0" w:color="auto"/>
            </w:tcBorders>
            <w:vAlign w:val="bottom"/>
          </w:tcPr>
          <w:p w:rsidR="0081436D" w:rsidRDefault="0081436D">
            <w:pPr>
              <w:rPr>
                <w:rFonts w:ascii="仿宋_GB2312" w:eastAsia="仿宋_GB2312" w:hAnsi="仿宋_GB2312" w:cs="仿宋_GB2312"/>
                <w:color w:val="000000"/>
                <w:sz w:val="24"/>
              </w:rPr>
            </w:pPr>
          </w:p>
        </w:tc>
        <w:tc>
          <w:tcPr>
            <w:tcW w:w="5383" w:type="dxa"/>
            <w:gridSpan w:val="2"/>
            <w:tcBorders>
              <w:top w:val="nil"/>
              <w:left w:val="nil"/>
              <w:bottom w:val="single" w:sz="4" w:space="0" w:color="auto"/>
              <w:right w:val="single" w:sz="4" w:space="0" w:color="auto"/>
            </w:tcBorders>
            <w:vAlign w:val="bottom"/>
          </w:tcPr>
          <w:p w:rsidR="0081436D" w:rsidRDefault="0081436D">
            <w:pPr>
              <w:rPr>
                <w:rFonts w:ascii="仿宋_GB2312" w:eastAsia="仿宋_GB2312" w:hAnsi="仿宋_GB2312" w:cs="仿宋_GB2312"/>
                <w:b/>
                <w:color w:val="000000"/>
                <w:sz w:val="24"/>
              </w:rPr>
            </w:pPr>
          </w:p>
        </w:tc>
      </w:tr>
      <w:tr w:rsidR="0081436D">
        <w:tblPrEx>
          <w:tblBorders>
            <w:top w:val="none" w:sz="0" w:space="0" w:color="auto"/>
            <w:left w:val="none" w:sz="0" w:space="0" w:color="auto"/>
            <w:bottom w:val="none" w:sz="0" w:space="0" w:color="auto"/>
            <w:right w:val="none" w:sz="0" w:space="0" w:color="auto"/>
          </w:tblBorders>
        </w:tblPrEx>
        <w:trPr>
          <w:trHeight w:val="312"/>
        </w:trPr>
        <w:tc>
          <w:tcPr>
            <w:tcW w:w="1749" w:type="dxa"/>
            <w:vMerge w:val="restart"/>
            <w:tcBorders>
              <w:top w:val="nil"/>
              <w:left w:val="single" w:sz="4" w:space="0" w:color="auto"/>
              <w:right w:val="single" w:sz="4" w:space="0" w:color="auto"/>
            </w:tcBorders>
            <w:vAlign w:val="center"/>
          </w:tcPr>
          <w:p w:rsidR="0081436D" w:rsidRDefault="0081436D">
            <w:pPr>
              <w:rPr>
                <w:rFonts w:ascii="仿宋_GB2312" w:eastAsia="仿宋_GB2312" w:hAnsi="仿宋_GB2312" w:cs="仿宋_GB2312"/>
                <w:color w:val="000000"/>
                <w:sz w:val="24"/>
              </w:rPr>
            </w:pPr>
          </w:p>
        </w:tc>
        <w:tc>
          <w:tcPr>
            <w:tcW w:w="1741" w:type="dxa"/>
            <w:tcBorders>
              <w:top w:val="nil"/>
              <w:left w:val="nil"/>
              <w:bottom w:val="single" w:sz="4" w:space="0" w:color="auto"/>
              <w:right w:val="single" w:sz="4" w:space="0" w:color="auto"/>
            </w:tcBorders>
            <w:vAlign w:val="bottom"/>
          </w:tcPr>
          <w:p w:rsidR="0081436D" w:rsidRDefault="0081436D">
            <w:pPr>
              <w:rPr>
                <w:rFonts w:ascii="仿宋_GB2312" w:eastAsia="仿宋_GB2312" w:hAnsi="仿宋_GB2312" w:cs="仿宋_GB2312"/>
                <w:color w:val="000000"/>
                <w:sz w:val="24"/>
              </w:rPr>
            </w:pPr>
          </w:p>
        </w:tc>
        <w:tc>
          <w:tcPr>
            <w:tcW w:w="2063" w:type="dxa"/>
            <w:tcBorders>
              <w:top w:val="nil"/>
              <w:left w:val="nil"/>
              <w:bottom w:val="single" w:sz="4" w:space="0" w:color="auto"/>
              <w:right w:val="single" w:sz="4" w:space="0" w:color="auto"/>
            </w:tcBorders>
            <w:vAlign w:val="center"/>
          </w:tcPr>
          <w:p w:rsidR="0081436D" w:rsidRDefault="0081436D">
            <w:pPr>
              <w:rPr>
                <w:rFonts w:ascii="仿宋_GB2312" w:eastAsia="仿宋_GB2312" w:hAnsi="仿宋_GB2312" w:cs="仿宋_GB2312"/>
                <w:color w:val="000000"/>
                <w:sz w:val="24"/>
              </w:rPr>
            </w:pPr>
          </w:p>
        </w:tc>
        <w:tc>
          <w:tcPr>
            <w:tcW w:w="3320" w:type="dxa"/>
            <w:tcBorders>
              <w:top w:val="nil"/>
              <w:left w:val="nil"/>
              <w:bottom w:val="single" w:sz="4" w:space="0" w:color="auto"/>
              <w:right w:val="single" w:sz="4" w:space="0" w:color="auto"/>
            </w:tcBorders>
            <w:vAlign w:val="bottom"/>
          </w:tcPr>
          <w:p w:rsidR="0081436D" w:rsidRDefault="0081436D">
            <w:pPr>
              <w:rPr>
                <w:rFonts w:ascii="仿宋_GB2312" w:eastAsia="仿宋_GB2312" w:hAnsi="仿宋_GB2312" w:cs="仿宋_GB2312"/>
                <w:color w:val="000000"/>
                <w:sz w:val="24"/>
              </w:rPr>
            </w:pPr>
          </w:p>
        </w:tc>
      </w:tr>
      <w:tr w:rsidR="0081436D">
        <w:tblPrEx>
          <w:tblBorders>
            <w:top w:val="none" w:sz="0" w:space="0" w:color="auto"/>
            <w:left w:val="none" w:sz="0" w:space="0" w:color="auto"/>
            <w:bottom w:val="none" w:sz="0" w:space="0" w:color="auto"/>
            <w:right w:val="none" w:sz="0" w:space="0" w:color="auto"/>
          </w:tblBorders>
        </w:tblPrEx>
        <w:trPr>
          <w:trHeight w:val="312"/>
        </w:trPr>
        <w:tc>
          <w:tcPr>
            <w:tcW w:w="1749" w:type="dxa"/>
            <w:vMerge/>
            <w:tcBorders>
              <w:left w:val="single" w:sz="4" w:space="0" w:color="auto"/>
              <w:right w:val="single" w:sz="4" w:space="0" w:color="auto"/>
            </w:tcBorders>
            <w:vAlign w:val="center"/>
          </w:tcPr>
          <w:p w:rsidR="0081436D" w:rsidRDefault="0081436D">
            <w:pPr>
              <w:rPr>
                <w:rFonts w:ascii="仿宋_GB2312" w:eastAsia="仿宋_GB2312" w:hAnsi="仿宋_GB2312" w:cs="仿宋_GB2312"/>
                <w:color w:val="000000"/>
                <w:sz w:val="24"/>
              </w:rPr>
            </w:pPr>
          </w:p>
        </w:tc>
        <w:tc>
          <w:tcPr>
            <w:tcW w:w="1741" w:type="dxa"/>
            <w:tcBorders>
              <w:top w:val="nil"/>
              <w:left w:val="nil"/>
              <w:bottom w:val="single" w:sz="4" w:space="0" w:color="auto"/>
              <w:right w:val="single" w:sz="4" w:space="0" w:color="auto"/>
            </w:tcBorders>
            <w:vAlign w:val="bottom"/>
          </w:tcPr>
          <w:p w:rsidR="0081436D" w:rsidRDefault="0081436D">
            <w:pPr>
              <w:rPr>
                <w:rFonts w:ascii="仿宋_GB2312" w:eastAsia="仿宋_GB2312" w:hAnsi="仿宋_GB2312" w:cs="仿宋_GB2312"/>
                <w:color w:val="000000"/>
                <w:sz w:val="24"/>
              </w:rPr>
            </w:pPr>
          </w:p>
        </w:tc>
        <w:tc>
          <w:tcPr>
            <w:tcW w:w="2063" w:type="dxa"/>
            <w:tcBorders>
              <w:top w:val="nil"/>
              <w:left w:val="nil"/>
              <w:bottom w:val="single" w:sz="4" w:space="0" w:color="auto"/>
              <w:right w:val="single" w:sz="4" w:space="0" w:color="auto"/>
            </w:tcBorders>
            <w:vAlign w:val="bottom"/>
          </w:tcPr>
          <w:p w:rsidR="0081436D" w:rsidRDefault="0081436D">
            <w:pPr>
              <w:rPr>
                <w:rFonts w:ascii="仿宋_GB2312" w:eastAsia="仿宋_GB2312" w:hAnsi="仿宋_GB2312" w:cs="仿宋_GB2312"/>
                <w:color w:val="000000"/>
                <w:sz w:val="24"/>
              </w:rPr>
            </w:pPr>
          </w:p>
        </w:tc>
        <w:tc>
          <w:tcPr>
            <w:tcW w:w="3320" w:type="dxa"/>
            <w:tcBorders>
              <w:top w:val="nil"/>
              <w:left w:val="nil"/>
              <w:bottom w:val="single" w:sz="4" w:space="0" w:color="auto"/>
              <w:right w:val="single" w:sz="4" w:space="0" w:color="auto"/>
            </w:tcBorders>
            <w:vAlign w:val="bottom"/>
          </w:tcPr>
          <w:p w:rsidR="0081436D" w:rsidRDefault="0081436D">
            <w:pPr>
              <w:rPr>
                <w:rFonts w:ascii="仿宋_GB2312" w:eastAsia="仿宋_GB2312" w:hAnsi="仿宋_GB2312" w:cs="仿宋_GB2312"/>
                <w:color w:val="000000"/>
                <w:sz w:val="24"/>
              </w:rPr>
            </w:pPr>
          </w:p>
        </w:tc>
      </w:tr>
      <w:tr w:rsidR="0081436D">
        <w:tblPrEx>
          <w:tblBorders>
            <w:top w:val="none" w:sz="0" w:space="0" w:color="auto"/>
            <w:left w:val="none" w:sz="0" w:space="0" w:color="auto"/>
            <w:bottom w:val="none" w:sz="0" w:space="0" w:color="auto"/>
            <w:right w:val="none" w:sz="0" w:space="0" w:color="auto"/>
          </w:tblBorders>
        </w:tblPrEx>
        <w:trPr>
          <w:trHeight w:val="312"/>
        </w:trPr>
        <w:tc>
          <w:tcPr>
            <w:tcW w:w="1749" w:type="dxa"/>
            <w:vMerge/>
            <w:tcBorders>
              <w:left w:val="single" w:sz="4" w:space="0" w:color="auto"/>
              <w:right w:val="single" w:sz="4" w:space="0" w:color="auto"/>
            </w:tcBorders>
            <w:vAlign w:val="center"/>
          </w:tcPr>
          <w:p w:rsidR="0081436D" w:rsidRDefault="0081436D">
            <w:pPr>
              <w:rPr>
                <w:rFonts w:ascii="仿宋_GB2312" w:eastAsia="仿宋_GB2312" w:hAnsi="仿宋_GB2312" w:cs="仿宋_GB2312"/>
                <w:color w:val="000000"/>
                <w:sz w:val="24"/>
              </w:rPr>
            </w:pPr>
          </w:p>
        </w:tc>
        <w:tc>
          <w:tcPr>
            <w:tcW w:w="1741" w:type="dxa"/>
            <w:tcBorders>
              <w:top w:val="nil"/>
              <w:left w:val="nil"/>
              <w:bottom w:val="single" w:sz="4" w:space="0" w:color="auto"/>
              <w:right w:val="single" w:sz="4" w:space="0" w:color="auto"/>
            </w:tcBorders>
            <w:vAlign w:val="bottom"/>
          </w:tcPr>
          <w:p w:rsidR="0081436D" w:rsidRDefault="0081436D">
            <w:pPr>
              <w:rPr>
                <w:rFonts w:ascii="仿宋_GB2312" w:eastAsia="仿宋_GB2312" w:hAnsi="仿宋_GB2312" w:cs="仿宋_GB2312"/>
                <w:color w:val="000000"/>
                <w:sz w:val="24"/>
              </w:rPr>
            </w:pPr>
          </w:p>
        </w:tc>
        <w:tc>
          <w:tcPr>
            <w:tcW w:w="2063" w:type="dxa"/>
            <w:tcBorders>
              <w:top w:val="nil"/>
              <w:left w:val="nil"/>
              <w:bottom w:val="single" w:sz="4" w:space="0" w:color="auto"/>
              <w:right w:val="single" w:sz="4" w:space="0" w:color="auto"/>
            </w:tcBorders>
            <w:vAlign w:val="center"/>
          </w:tcPr>
          <w:p w:rsidR="0081436D" w:rsidRDefault="0081436D">
            <w:pPr>
              <w:rPr>
                <w:rFonts w:ascii="仿宋_GB2312" w:eastAsia="仿宋_GB2312" w:hAnsi="仿宋_GB2312" w:cs="仿宋_GB2312"/>
                <w:color w:val="000000"/>
                <w:sz w:val="24"/>
              </w:rPr>
            </w:pPr>
          </w:p>
        </w:tc>
        <w:tc>
          <w:tcPr>
            <w:tcW w:w="3320" w:type="dxa"/>
            <w:tcBorders>
              <w:top w:val="nil"/>
              <w:left w:val="nil"/>
              <w:bottom w:val="single" w:sz="4" w:space="0" w:color="auto"/>
              <w:right w:val="single" w:sz="4" w:space="0" w:color="auto"/>
            </w:tcBorders>
            <w:vAlign w:val="bottom"/>
          </w:tcPr>
          <w:p w:rsidR="0081436D" w:rsidRDefault="0081436D">
            <w:pPr>
              <w:rPr>
                <w:rFonts w:ascii="仿宋_GB2312" w:eastAsia="仿宋_GB2312" w:hAnsi="仿宋_GB2312" w:cs="仿宋_GB2312"/>
                <w:color w:val="000000"/>
                <w:sz w:val="24"/>
              </w:rPr>
            </w:pPr>
          </w:p>
        </w:tc>
      </w:tr>
      <w:tr w:rsidR="0081436D">
        <w:tblPrEx>
          <w:tblBorders>
            <w:top w:val="none" w:sz="0" w:space="0" w:color="auto"/>
            <w:left w:val="none" w:sz="0" w:space="0" w:color="auto"/>
            <w:bottom w:val="none" w:sz="0" w:space="0" w:color="auto"/>
            <w:right w:val="none" w:sz="0" w:space="0" w:color="auto"/>
          </w:tblBorders>
        </w:tblPrEx>
        <w:trPr>
          <w:trHeight w:val="312"/>
        </w:trPr>
        <w:tc>
          <w:tcPr>
            <w:tcW w:w="1749" w:type="dxa"/>
            <w:vMerge/>
            <w:tcBorders>
              <w:left w:val="single" w:sz="4" w:space="0" w:color="auto"/>
              <w:bottom w:val="single" w:sz="4" w:space="0" w:color="auto"/>
              <w:right w:val="single" w:sz="4" w:space="0" w:color="auto"/>
            </w:tcBorders>
            <w:vAlign w:val="center"/>
          </w:tcPr>
          <w:p w:rsidR="0081436D" w:rsidRDefault="0081436D">
            <w:pPr>
              <w:rPr>
                <w:rFonts w:ascii="仿宋_GB2312" w:eastAsia="仿宋_GB2312" w:hAnsi="仿宋_GB2312" w:cs="仿宋_GB2312"/>
                <w:color w:val="000000"/>
                <w:sz w:val="24"/>
              </w:rPr>
            </w:pPr>
          </w:p>
        </w:tc>
        <w:tc>
          <w:tcPr>
            <w:tcW w:w="1741" w:type="dxa"/>
            <w:tcBorders>
              <w:top w:val="nil"/>
              <w:left w:val="nil"/>
              <w:bottom w:val="single" w:sz="4" w:space="0" w:color="auto"/>
              <w:right w:val="single" w:sz="4" w:space="0" w:color="auto"/>
            </w:tcBorders>
            <w:vAlign w:val="bottom"/>
          </w:tcPr>
          <w:p w:rsidR="0081436D" w:rsidRDefault="0081436D">
            <w:pPr>
              <w:rPr>
                <w:rFonts w:ascii="仿宋_GB2312" w:eastAsia="仿宋_GB2312" w:hAnsi="仿宋_GB2312" w:cs="仿宋_GB2312"/>
                <w:color w:val="000000"/>
                <w:sz w:val="24"/>
              </w:rPr>
            </w:pPr>
          </w:p>
        </w:tc>
        <w:tc>
          <w:tcPr>
            <w:tcW w:w="2063" w:type="dxa"/>
            <w:tcBorders>
              <w:top w:val="nil"/>
              <w:left w:val="nil"/>
              <w:bottom w:val="single" w:sz="4" w:space="0" w:color="auto"/>
              <w:right w:val="single" w:sz="4" w:space="0" w:color="auto"/>
            </w:tcBorders>
            <w:vAlign w:val="bottom"/>
          </w:tcPr>
          <w:p w:rsidR="0081436D" w:rsidRDefault="0081436D">
            <w:pPr>
              <w:rPr>
                <w:rFonts w:ascii="仿宋_GB2312" w:eastAsia="仿宋_GB2312" w:hAnsi="仿宋_GB2312" w:cs="仿宋_GB2312"/>
                <w:color w:val="000000"/>
                <w:sz w:val="24"/>
              </w:rPr>
            </w:pPr>
          </w:p>
        </w:tc>
        <w:tc>
          <w:tcPr>
            <w:tcW w:w="3320" w:type="dxa"/>
            <w:tcBorders>
              <w:top w:val="nil"/>
              <w:left w:val="nil"/>
              <w:bottom w:val="single" w:sz="4" w:space="0" w:color="auto"/>
              <w:right w:val="single" w:sz="4" w:space="0" w:color="auto"/>
            </w:tcBorders>
            <w:vAlign w:val="bottom"/>
          </w:tcPr>
          <w:p w:rsidR="0081436D" w:rsidRDefault="0081436D">
            <w:pPr>
              <w:rPr>
                <w:rFonts w:ascii="仿宋_GB2312" w:eastAsia="仿宋_GB2312" w:hAnsi="仿宋_GB2312" w:cs="仿宋_GB2312"/>
                <w:color w:val="000000"/>
                <w:sz w:val="24"/>
              </w:rPr>
            </w:pPr>
          </w:p>
        </w:tc>
      </w:tr>
      <w:tr w:rsidR="0081436D">
        <w:tblPrEx>
          <w:tblBorders>
            <w:top w:val="none" w:sz="0" w:space="0" w:color="auto"/>
            <w:left w:val="none" w:sz="0" w:space="0" w:color="auto"/>
            <w:bottom w:val="none" w:sz="0" w:space="0" w:color="auto"/>
            <w:right w:val="none" w:sz="0" w:space="0" w:color="auto"/>
          </w:tblBorders>
        </w:tblPrEx>
        <w:trPr>
          <w:trHeight w:val="312"/>
        </w:trPr>
        <w:tc>
          <w:tcPr>
            <w:tcW w:w="1749" w:type="dxa"/>
            <w:tcBorders>
              <w:top w:val="nil"/>
              <w:left w:val="single" w:sz="4" w:space="0" w:color="auto"/>
              <w:bottom w:val="single" w:sz="4" w:space="0" w:color="auto"/>
              <w:right w:val="single" w:sz="4" w:space="0" w:color="auto"/>
            </w:tcBorders>
            <w:vAlign w:val="center"/>
          </w:tcPr>
          <w:p w:rsidR="0081436D" w:rsidRDefault="0081436D">
            <w:pPr>
              <w:rPr>
                <w:rFonts w:ascii="仿宋_GB2312" w:eastAsia="仿宋_GB2312" w:hAnsi="仿宋_GB2312" w:cs="仿宋_GB2312"/>
                <w:color w:val="000000"/>
                <w:sz w:val="24"/>
              </w:rPr>
            </w:pPr>
          </w:p>
        </w:tc>
        <w:tc>
          <w:tcPr>
            <w:tcW w:w="1741" w:type="dxa"/>
            <w:tcBorders>
              <w:top w:val="nil"/>
              <w:left w:val="nil"/>
              <w:bottom w:val="single" w:sz="4" w:space="0" w:color="auto"/>
              <w:right w:val="single" w:sz="4" w:space="0" w:color="auto"/>
            </w:tcBorders>
            <w:vAlign w:val="center"/>
          </w:tcPr>
          <w:p w:rsidR="0081436D" w:rsidRDefault="0081436D">
            <w:pPr>
              <w:rPr>
                <w:rFonts w:ascii="仿宋_GB2312" w:eastAsia="仿宋_GB2312" w:hAnsi="仿宋_GB2312" w:cs="仿宋_GB2312"/>
                <w:color w:val="000000"/>
                <w:sz w:val="24"/>
              </w:rPr>
            </w:pPr>
          </w:p>
        </w:tc>
        <w:tc>
          <w:tcPr>
            <w:tcW w:w="2063" w:type="dxa"/>
            <w:tcBorders>
              <w:top w:val="nil"/>
              <w:left w:val="nil"/>
              <w:bottom w:val="single" w:sz="4" w:space="0" w:color="auto"/>
              <w:right w:val="single" w:sz="4" w:space="0" w:color="auto"/>
            </w:tcBorders>
            <w:vAlign w:val="center"/>
          </w:tcPr>
          <w:p w:rsidR="0081436D" w:rsidRDefault="0081436D">
            <w:pPr>
              <w:rPr>
                <w:rFonts w:ascii="仿宋_GB2312" w:eastAsia="仿宋_GB2312" w:hAnsi="仿宋_GB2312" w:cs="仿宋_GB2312"/>
                <w:color w:val="000000"/>
                <w:sz w:val="24"/>
              </w:rPr>
            </w:pPr>
          </w:p>
        </w:tc>
        <w:tc>
          <w:tcPr>
            <w:tcW w:w="3320" w:type="dxa"/>
            <w:tcBorders>
              <w:top w:val="nil"/>
              <w:left w:val="nil"/>
              <w:bottom w:val="single" w:sz="4" w:space="0" w:color="auto"/>
              <w:right w:val="single" w:sz="4" w:space="0" w:color="auto"/>
            </w:tcBorders>
            <w:vAlign w:val="center"/>
          </w:tcPr>
          <w:p w:rsidR="0081436D" w:rsidRDefault="0081436D">
            <w:pPr>
              <w:rPr>
                <w:rFonts w:ascii="仿宋_GB2312" w:eastAsia="仿宋_GB2312" w:hAnsi="仿宋_GB2312" w:cs="仿宋_GB2312"/>
                <w:color w:val="000000"/>
                <w:sz w:val="24"/>
              </w:rPr>
            </w:pPr>
          </w:p>
        </w:tc>
      </w:tr>
      <w:tr w:rsidR="0081436D">
        <w:tblPrEx>
          <w:tblBorders>
            <w:top w:val="none" w:sz="0" w:space="0" w:color="auto"/>
            <w:left w:val="none" w:sz="0" w:space="0" w:color="auto"/>
            <w:bottom w:val="none" w:sz="0" w:space="0" w:color="auto"/>
            <w:right w:val="none" w:sz="0" w:space="0" w:color="auto"/>
          </w:tblBorders>
        </w:tblPrEx>
        <w:trPr>
          <w:trHeight w:val="312"/>
        </w:trPr>
        <w:tc>
          <w:tcPr>
            <w:tcW w:w="1749" w:type="dxa"/>
            <w:vMerge w:val="restart"/>
            <w:tcBorders>
              <w:top w:val="single" w:sz="4" w:space="0" w:color="auto"/>
              <w:left w:val="single" w:sz="4" w:space="0" w:color="auto"/>
              <w:bottom w:val="single" w:sz="4" w:space="0" w:color="auto"/>
              <w:right w:val="single" w:sz="4" w:space="0" w:color="auto"/>
            </w:tcBorders>
            <w:vAlign w:val="center"/>
          </w:tcPr>
          <w:p w:rsidR="0081436D" w:rsidRDefault="0081436D">
            <w:pPr>
              <w:rPr>
                <w:rFonts w:ascii="仿宋_GB2312" w:eastAsia="仿宋_GB2312" w:hAnsi="仿宋_GB2312" w:cs="仿宋_GB2312"/>
                <w:color w:val="000000"/>
                <w:sz w:val="24"/>
              </w:rPr>
            </w:pPr>
          </w:p>
        </w:tc>
        <w:tc>
          <w:tcPr>
            <w:tcW w:w="1741" w:type="dxa"/>
            <w:tcBorders>
              <w:top w:val="nil"/>
              <w:left w:val="nil"/>
              <w:bottom w:val="single" w:sz="4" w:space="0" w:color="auto"/>
              <w:right w:val="single" w:sz="4" w:space="0" w:color="auto"/>
            </w:tcBorders>
            <w:vAlign w:val="bottom"/>
          </w:tcPr>
          <w:p w:rsidR="0081436D" w:rsidRDefault="0081436D">
            <w:pPr>
              <w:rPr>
                <w:rFonts w:ascii="仿宋_GB2312" w:eastAsia="仿宋_GB2312" w:hAnsi="仿宋_GB2312" w:cs="仿宋_GB2312"/>
                <w:color w:val="000000"/>
                <w:sz w:val="24"/>
              </w:rPr>
            </w:pPr>
          </w:p>
        </w:tc>
        <w:tc>
          <w:tcPr>
            <w:tcW w:w="2063" w:type="dxa"/>
            <w:tcBorders>
              <w:top w:val="nil"/>
              <w:left w:val="nil"/>
              <w:bottom w:val="single" w:sz="4" w:space="0" w:color="auto"/>
              <w:right w:val="single" w:sz="4" w:space="0" w:color="auto"/>
            </w:tcBorders>
            <w:vAlign w:val="bottom"/>
          </w:tcPr>
          <w:p w:rsidR="0081436D" w:rsidRDefault="0081436D">
            <w:pPr>
              <w:rPr>
                <w:rFonts w:ascii="仿宋_GB2312" w:eastAsia="仿宋_GB2312" w:hAnsi="仿宋_GB2312" w:cs="仿宋_GB2312"/>
                <w:color w:val="000000"/>
                <w:sz w:val="24"/>
              </w:rPr>
            </w:pPr>
          </w:p>
        </w:tc>
        <w:tc>
          <w:tcPr>
            <w:tcW w:w="3320" w:type="dxa"/>
            <w:tcBorders>
              <w:top w:val="nil"/>
              <w:left w:val="nil"/>
              <w:bottom w:val="single" w:sz="4" w:space="0" w:color="auto"/>
              <w:right w:val="single" w:sz="4" w:space="0" w:color="auto"/>
            </w:tcBorders>
            <w:vAlign w:val="bottom"/>
          </w:tcPr>
          <w:p w:rsidR="0081436D" w:rsidRDefault="0081436D">
            <w:pPr>
              <w:rPr>
                <w:rFonts w:ascii="仿宋_GB2312" w:eastAsia="仿宋_GB2312" w:hAnsi="仿宋_GB2312" w:cs="仿宋_GB2312"/>
                <w:color w:val="000000"/>
                <w:sz w:val="24"/>
              </w:rPr>
            </w:pPr>
          </w:p>
        </w:tc>
      </w:tr>
      <w:tr w:rsidR="0081436D">
        <w:tblPrEx>
          <w:tblBorders>
            <w:top w:val="none" w:sz="0" w:space="0" w:color="auto"/>
            <w:left w:val="none" w:sz="0" w:space="0" w:color="auto"/>
            <w:bottom w:val="none" w:sz="0" w:space="0" w:color="auto"/>
            <w:right w:val="none" w:sz="0" w:space="0" w:color="auto"/>
          </w:tblBorders>
        </w:tblPrEx>
        <w:trPr>
          <w:trHeight w:val="312"/>
        </w:trPr>
        <w:tc>
          <w:tcPr>
            <w:tcW w:w="1749" w:type="dxa"/>
            <w:vMerge/>
            <w:tcBorders>
              <w:top w:val="nil"/>
              <w:left w:val="single" w:sz="4" w:space="0" w:color="auto"/>
              <w:bottom w:val="single" w:sz="4" w:space="0" w:color="auto"/>
              <w:right w:val="single" w:sz="4" w:space="0" w:color="auto"/>
            </w:tcBorders>
            <w:vAlign w:val="center"/>
          </w:tcPr>
          <w:p w:rsidR="0081436D" w:rsidRDefault="0081436D">
            <w:pPr>
              <w:rPr>
                <w:rFonts w:ascii="仿宋_GB2312" w:eastAsia="仿宋_GB2312" w:hAnsi="仿宋_GB2312" w:cs="仿宋_GB2312"/>
                <w:color w:val="000000"/>
                <w:sz w:val="24"/>
              </w:rPr>
            </w:pPr>
          </w:p>
        </w:tc>
        <w:tc>
          <w:tcPr>
            <w:tcW w:w="1741" w:type="dxa"/>
            <w:tcBorders>
              <w:top w:val="nil"/>
              <w:left w:val="nil"/>
              <w:bottom w:val="single" w:sz="4" w:space="0" w:color="auto"/>
              <w:right w:val="single" w:sz="4" w:space="0" w:color="auto"/>
            </w:tcBorders>
            <w:vAlign w:val="bottom"/>
          </w:tcPr>
          <w:p w:rsidR="0081436D" w:rsidRDefault="0081436D">
            <w:pPr>
              <w:rPr>
                <w:rFonts w:ascii="仿宋_GB2312" w:eastAsia="仿宋_GB2312" w:hAnsi="仿宋_GB2312" w:cs="仿宋_GB2312"/>
                <w:color w:val="000000"/>
                <w:sz w:val="24"/>
              </w:rPr>
            </w:pPr>
          </w:p>
        </w:tc>
        <w:tc>
          <w:tcPr>
            <w:tcW w:w="2063" w:type="dxa"/>
            <w:tcBorders>
              <w:top w:val="nil"/>
              <w:left w:val="nil"/>
              <w:bottom w:val="single" w:sz="4" w:space="0" w:color="auto"/>
              <w:right w:val="single" w:sz="4" w:space="0" w:color="auto"/>
            </w:tcBorders>
            <w:vAlign w:val="bottom"/>
          </w:tcPr>
          <w:p w:rsidR="0081436D" w:rsidRDefault="0081436D">
            <w:pPr>
              <w:rPr>
                <w:rFonts w:ascii="仿宋_GB2312" w:eastAsia="仿宋_GB2312" w:hAnsi="仿宋_GB2312" w:cs="仿宋_GB2312"/>
                <w:color w:val="000000"/>
                <w:sz w:val="24"/>
              </w:rPr>
            </w:pPr>
          </w:p>
        </w:tc>
        <w:tc>
          <w:tcPr>
            <w:tcW w:w="3320" w:type="dxa"/>
            <w:tcBorders>
              <w:top w:val="nil"/>
              <w:left w:val="nil"/>
              <w:bottom w:val="single" w:sz="4" w:space="0" w:color="auto"/>
              <w:right w:val="single" w:sz="4" w:space="0" w:color="auto"/>
            </w:tcBorders>
            <w:vAlign w:val="bottom"/>
          </w:tcPr>
          <w:p w:rsidR="0081436D" w:rsidRDefault="0081436D">
            <w:pPr>
              <w:rPr>
                <w:rFonts w:ascii="仿宋_GB2312" w:eastAsia="仿宋_GB2312" w:hAnsi="仿宋_GB2312" w:cs="仿宋_GB2312"/>
                <w:color w:val="000000"/>
                <w:sz w:val="24"/>
              </w:rPr>
            </w:pPr>
          </w:p>
        </w:tc>
      </w:tr>
      <w:tr w:rsidR="0081436D">
        <w:tblPrEx>
          <w:tblBorders>
            <w:top w:val="none" w:sz="0" w:space="0" w:color="auto"/>
            <w:left w:val="none" w:sz="0" w:space="0" w:color="auto"/>
            <w:bottom w:val="none" w:sz="0" w:space="0" w:color="auto"/>
            <w:right w:val="none" w:sz="0" w:space="0" w:color="auto"/>
          </w:tblBorders>
        </w:tblPrEx>
        <w:trPr>
          <w:trHeight w:val="312"/>
        </w:trPr>
        <w:tc>
          <w:tcPr>
            <w:tcW w:w="1749" w:type="dxa"/>
            <w:vMerge w:val="restart"/>
            <w:tcBorders>
              <w:top w:val="nil"/>
              <w:left w:val="single" w:sz="4" w:space="0" w:color="auto"/>
              <w:bottom w:val="single" w:sz="4" w:space="0" w:color="auto"/>
              <w:right w:val="single" w:sz="4" w:space="0" w:color="auto"/>
            </w:tcBorders>
            <w:vAlign w:val="center"/>
          </w:tcPr>
          <w:p w:rsidR="0081436D" w:rsidRDefault="0081436D">
            <w:pPr>
              <w:rPr>
                <w:rFonts w:ascii="仿宋_GB2312" w:eastAsia="仿宋_GB2312" w:hAnsi="仿宋_GB2312" w:cs="仿宋_GB2312"/>
                <w:color w:val="000000"/>
                <w:sz w:val="24"/>
              </w:rPr>
            </w:pPr>
          </w:p>
        </w:tc>
        <w:tc>
          <w:tcPr>
            <w:tcW w:w="1741" w:type="dxa"/>
            <w:tcBorders>
              <w:top w:val="nil"/>
              <w:left w:val="nil"/>
              <w:bottom w:val="single" w:sz="4" w:space="0" w:color="auto"/>
              <w:right w:val="single" w:sz="4" w:space="0" w:color="auto"/>
            </w:tcBorders>
            <w:vAlign w:val="bottom"/>
          </w:tcPr>
          <w:p w:rsidR="0081436D" w:rsidRDefault="0081436D">
            <w:pPr>
              <w:rPr>
                <w:rFonts w:ascii="仿宋_GB2312" w:eastAsia="仿宋_GB2312" w:hAnsi="仿宋_GB2312" w:cs="仿宋_GB2312"/>
                <w:color w:val="000000"/>
                <w:sz w:val="24"/>
              </w:rPr>
            </w:pPr>
          </w:p>
        </w:tc>
        <w:tc>
          <w:tcPr>
            <w:tcW w:w="2063" w:type="dxa"/>
            <w:tcBorders>
              <w:top w:val="nil"/>
              <w:left w:val="nil"/>
              <w:bottom w:val="single" w:sz="4" w:space="0" w:color="auto"/>
              <w:right w:val="single" w:sz="4" w:space="0" w:color="auto"/>
            </w:tcBorders>
            <w:vAlign w:val="bottom"/>
          </w:tcPr>
          <w:p w:rsidR="0081436D" w:rsidRDefault="0081436D">
            <w:pPr>
              <w:rPr>
                <w:rFonts w:ascii="仿宋_GB2312" w:eastAsia="仿宋_GB2312" w:hAnsi="仿宋_GB2312" w:cs="仿宋_GB2312"/>
                <w:color w:val="000000"/>
                <w:sz w:val="24"/>
              </w:rPr>
            </w:pPr>
          </w:p>
        </w:tc>
        <w:tc>
          <w:tcPr>
            <w:tcW w:w="3320" w:type="dxa"/>
            <w:tcBorders>
              <w:top w:val="nil"/>
              <w:left w:val="nil"/>
              <w:bottom w:val="single" w:sz="4" w:space="0" w:color="auto"/>
              <w:right w:val="single" w:sz="4" w:space="0" w:color="auto"/>
            </w:tcBorders>
            <w:vAlign w:val="bottom"/>
          </w:tcPr>
          <w:p w:rsidR="0081436D" w:rsidRDefault="0081436D">
            <w:pPr>
              <w:rPr>
                <w:rFonts w:ascii="仿宋_GB2312" w:eastAsia="仿宋_GB2312" w:hAnsi="仿宋_GB2312" w:cs="仿宋_GB2312"/>
                <w:color w:val="000000"/>
                <w:sz w:val="24"/>
              </w:rPr>
            </w:pPr>
          </w:p>
        </w:tc>
      </w:tr>
      <w:tr w:rsidR="0081436D">
        <w:tblPrEx>
          <w:tblBorders>
            <w:top w:val="none" w:sz="0" w:space="0" w:color="auto"/>
            <w:left w:val="none" w:sz="0" w:space="0" w:color="auto"/>
            <w:bottom w:val="none" w:sz="0" w:space="0" w:color="auto"/>
            <w:right w:val="none" w:sz="0" w:space="0" w:color="auto"/>
          </w:tblBorders>
        </w:tblPrEx>
        <w:trPr>
          <w:trHeight w:val="312"/>
        </w:trPr>
        <w:tc>
          <w:tcPr>
            <w:tcW w:w="1749" w:type="dxa"/>
            <w:vMerge/>
            <w:tcBorders>
              <w:top w:val="nil"/>
              <w:left w:val="single" w:sz="4" w:space="0" w:color="auto"/>
              <w:bottom w:val="single" w:sz="4" w:space="0" w:color="auto"/>
              <w:right w:val="single" w:sz="4" w:space="0" w:color="auto"/>
            </w:tcBorders>
            <w:vAlign w:val="center"/>
          </w:tcPr>
          <w:p w:rsidR="0081436D" w:rsidRDefault="0081436D">
            <w:pPr>
              <w:rPr>
                <w:rFonts w:ascii="仿宋_GB2312" w:eastAsia="仿宋_GB2312" w:hAnsi="仿宋_GB2312" w:cs="仿宋_GB2312"/>
                <w:color w:val="000000"/>
                <w:sz w:val="24"/>
              </w:rPr>
            </w:pPr>
          </w:p>
        </w:tc>
        <w:tc>
          <w:tcPr>
            <w:tcW w:w="1741" w:type="dxa"/>
            <w:tcBorders>
              <w:top w:val="nil"/>
              <w:left w:val="nil"/>
              <w:bottom w:val="single" w:sz="4" w:space="0" w:color="auto"/>
              <w:right w:val="single" w:sz="4" w:space="0" w:color="auto"/>
            </w:tcBorders>
            <w:vAlign w:val="bottom"/>
          </w:tcPr>
          <w:p w:rsidR="0081436D" w:rsidRDefault="0081436D">
            <w:pPr>
              <w:rPr>
                <w:rFonts w:ascii="仿宋_GB2312" w:eastAsia="仿宋_GB2312" w:hAnsi="仿宋_GB2312" w:cs="仿宋_GB2312"/>
                <w:color w:val="000000"/>
                <w:sz w:val="24"/>
              </w:rPr>
            </w:pPr>
          </w:p>
        </w:tc>
        <w:tc>
          <w:tcPr>
            <w:tcW w:w="2063" w:type="dxa"/>
            <w:tcBorders>
              <w:top w:val="nil"/>
              <w:left w:val="nil"/>
              <w:bottom w:val="single" w:sz="4" w:space="0" w:color="auto"/>
              <w:right w:val="single" w:sz="4" w:space="0" w:color="auto"/>
            </w:tcBorders>
            <w:vAlign w:val="bottom"/>
          </w:tcPr>
          <w:p w:rsidR="0081436D" w:rsidRDefault="0081436D">
            <w:pPr>
              <w:rPr>
                <w:rFonts w:ascii="仿宋_GB2312" w:eastAsia="仿宋_GB2312" w:hAnsi="仿宋_GB2312" w:cs="仿宋_GB2312"/>
                <w:color w:val="000000"/>
                <w:sz w:val="24"/>
              </w:rPr>
            </w:pPr>
          </w:p>
        </w:tc>
        <w:tc>
          <w:tcPr>
            <w:tcW w:w="3320" w:type="dxa"/>
            <w:tcBorders>
              <w:top w:val="nil"/>
              <w:left w:val="nil"/>
              <w:bottom w:val="single" w:sz="4" w:space="0" w:color="auto"/>
              <w:right w:val="single" w:sz="4" w:space="0" w:color="auto"/>
            </w:tcBorders>
            <w:vAlign w:val="bottom"/>
          </w:tcPr>
          <w:p w:rsidR="0081436D" w:rsidRDefault="0081436D">
            <w:pPr>
              <w:rPr>
                <w:rFonts w:ascii="仿宋_GB2312" w:eastAsia="仿宋_GB2312" w:hAnsi="仿宋_GB2312" w:cs="仿宋_GB2312"/>
                <w:color w:val="000000"/>
                <w:sz w:val="24"/>
              </w:rPr>
            </w:pPr>
          </w:p>
        </w:tc>
      </w:tr>
      <w:tr w:rsidR="0081436D">
        <w:tblPrEx>
          <w:tblBorders>
            <w:top w:val="none" w:sz="0" w:space="0" w:color="auto"/>
            <w:left w:val="none" w:sz="0" w:space="0" w:color="auto"/>
            <w:bottom w:val="none" w:sz="0" w:space="0" w:color="auto"/>
            <w:right w:val="none" w:sz="0" w:space="0" w:color="auto"/>
          </w:tblBorders>
        </w:tblPrEx>
        <w:trPr>
          <w:trHeight w:val="312"/>
        </w:trPr>
        <w:tc>
          <w:tcPr>
            <w:tcW w:w="1749" w:type="dxa"/>
            <w:tcBorders>
              <w:top w:val="single" w:sz="4" w:space="0" w:color="auto"/>
              <w:left w:val="single" w:sz="4" w:space="0" w:color="auto"/>
              <w:bottom w:val="single" w:sz="4" w:space="0" w:color="auto"/>
              <w:right w:val="single" w:sz="4" w:space="0" w:color="auto"/>
            </w:tcBorders>
            <w:vAlign w:val="center"/>
          </w:tcPr>
          <w:p w:rsidR="0081436D" w:rsidRDefault="0081436D">
            <w:pPr>
              <w:rPr>
                <w:rFonts w:ascii="仿宋_GB2312" w:eastAsia="仿宋_GB2312" w:hAnsi="仿宋_GB2312" w:cs="仿宋_GB2312"/>
                <w:color w:val="000000"/>
                <w:sz w:val="24"/>
              </w:rPr>
            </w:pPr>
          </w:p>
        </w:tc>
        <w:tc>
          <w:tcPr>
            <w:tcW w:w="7124" w:type="dxa"/>
            <w:gridSpan w:val="3"/>
            <w:tcBorders>
              <w:top w:val="single" w:sz="4" w:space="0" w:color="auto"/>
              <w:left w:val="single" w:sz="4" w:space="0" w:color="auto"/>
              <w:bottom w:val="single" w:sz="4" w:space="0" w:color="auto"/>
              <w:right w:val="single" w:sz="4" w:space="0" w:color="auto"/>
            </w:tcBorders>
            <w:vAlign w:val="center"/>
          </w:tcPr>
          <w:p w:rsidR="0081436D" w:rsidRDefault="0081436D">
            <w:pPr>
              <w:rPr>
                <w:rFonts w:ascii="仿宋_GB2312" w:eastAsia="仿宋_GB2312" w:hAnsi="仿宋_GB2312" w:cs="仿宋_GB2312"/>
                <w:color w:val="000000"/>
                <w:sz w:val="24"/>
              </w:rPr>
            </w:pPr>
          </w:p>
        </w:tc>
      </w:tr>
      <w:tr w:rsidR="0081436D">
        <w:tblPrEx>
          <w:tblBorders>
            <w:top w:val="none" w:sz="0" w:space="0" w:color="auto"/>
            <w:left w:val="none" w:sz="0" w:space="0" w:color="auto"/>
            <w:bottom w:val="none" w:sz="0" w:space="0" w:color="auto"/>
            <w:right w:val="none" w:sz="0" w:space="0" w:color="auto"/>
          </w:tblBorders>
        </w:tblPrEx>
        <w:trPr>
          <w:trHeight w:val="312"/>
        </w:trPr>
        <w:tc>
          <w:tcPr>
            <w:tcW w:w="8873" w:type="dxa"/>
            <w:gridSpan w:val="4"/>
            <w:tcBorders>
              <w:top w:val="single" w:sz="4" w:space="0" w:color="auto"/>
              <w:left w:val="single" w:sz="4" w:space="0" w:color="auto"/>
              <w:bottom w:val="single" w:sz="4" w:space="0" w:color="auto"/>
              <w:right w:val="single" w:sz="4" w:space="0" w:color="auto"/>
            </w:tcBorders>
            <w:vAlign w:val="center"/>
          </w:tcPr>
          <w:p w:rsidR="0081436D" w:rsidRDefault="00BD165F">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托管业务专用章（用于本合同项下相关往来文件的盖章）</w:t>
            </w:r>
          </w:p>
        </w:tc>
      </w:tr>
      <w:tr w:rsidR="0081436D">
        <w:tblPrEx>
          <w:tblBorders>
            <w:top w:val="none" w:sz="0" w:space="0" w:color="auto"/>
            <w:left w:val="none" w:sz="0" w:space="0" w:color="auto"/>
            <w:bottom w:val="none" w:sz="0" w:space="0" w:color="auto"/>
            <w:right w:val="none" w:sz="0" w:space="0" w:color="auto"/>
          </w:tblBorders>
        </w:tblPrEx>
        <w:trPr>
          <w:trHeight w:val="312"/>
        </w:trPr>
        <w:tc>
          <w:tcPr>
            <w:tcW w:w="8873" w:type="dxa"/>
            <w:gridSpan w:val="4"/>
            <w:tcBorders>
              <w:top w:val="single" w:sz="4" w:space="0" w:color="auto"/>
              <w:left w:val="single" w:sz="4" w:space="0" w:color="auto"/>
              <w:bottom w:val="single" w:sz="4" w:space="0" w:color="auto"/>
              <w:right w:val="single" w:sz="4" w:space="0" w:color="auto"/>
            </w:tcBorders>
            <w:vAlign w:val="center"/>
          </w:tcPr>
          <w:p w:rsidR="0081436D" w:rsidRDefault="0081436D">
            <w:pPr>
              <w:rPr>
                <w:rFonts w:ascii="仿宋_GB2312" w:eastAsia="仿宋_GB2312" w:hAnsi="仿宋_GB2312" w:cs="仿宋_GB2312"/>
                <w:color w:val="000000"/>
                <w:sz w:val="24"/>
              </w:rPr>
            </w:pPr>
          </w:p>
          <w:p w:rsidR="0081436D" w:rsidRDefault="0081436D">
            <w:pPr>
              <w:pStyle w:val="21"/>
              <w:rPr>
                <w:rFonts w:ascii="仿宋_GB2312" w:eastAsia="仿宋_GB2312" w:hAnsi="仿宋_GB2312" w:cs="仿宋_GB2312"/>
              </w:rPr>
            </w:pPr>
          </w:p>
          <w:p w:rsidR="0081436D" w:rsidRDefault="0081436D">
            <w:pPr>
              <w:pStyle w:val="21"/>
              <w:rPr>
                <w:rFonts w:ascii="仿宋_GB2312" w:eastAsia="仿宋_GB2312" w:hAnsi="仿宋_GB2312" w:cs="仿宋_GB2312"/>
              </w:rPr>
            </w:pPr>
          </w:p>
          <w:p w:rsidR="0081436D" w:rsidRDefault="0081436D">
            <w:pPr>
              <w:pStyle w:val="21"/>
              <w:rPr>
                <w:rFonts w:ascii="仿宋_GB2312" w:eastAsia="仿宋_GB2312" w:hAnsi="仿宋_GB2312" w:cs="仿宋_GB2312"/>
              </w:rPr>
            </w:pPr>
          </w:p>
        </w:tc>
      </w:tr>
    </w:tbl>
    <w:p w:rsidR="0081436D" w:rsidRDefault="0081436D">
      <w:pPr>
        <w:pStyle w:val="Heading21"/>
      </w:pPr>
    </w:p>
    <w:sectPr w:rsidR="0081436D">
      <w:footerReference w:type="default" r:id="rId19"/>
      <w:footerReference w:type="first" r:id="rId20"/>
      <w:pgSz w:w="11906" w:h="16838"/>
      <w:pgMar w:top="1440" w:right="1800" w:bottom="1440" w:left="1800" w:header="851" w:footer="992" w:gutter="0"/>
      <w:cols w:space="1701"/>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165F" w:rsidRDefault="00BD165F">
      <w:r>
        <w:separator/>
      </w:r>
    </w:p>
  </w:endnote>
  <w:endnote w:type="continuationSeparator" w:id="0">
    <w:p w:rsidR="00BD165F" w:rsidRDefault="00BD1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彩虹黑体">
    <w:altName w:val="黑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36D" w:rsidRDefault="00BD165F">
    <w:pPr>
      <w:pStyle w:val="aa"/>
      <w:rPr>
        <w:rStyle w:val="af6"/>
      </w:rPr>
    </w:pPr>
    <w:r>
      <w:fldChar w:fldCharType="begin"/>
    </w:r>
    <w:r>
      <w:rPr>
        <w:rStyle w:val="af6"/>
      </w:rPr>
      <w:instrText xml:space="preserve">PAGE  </w:instrText>
    </w:r>
    <w:r>
      <w:fldChar w:fldCharType="end"/>
    </w:r>
  </w:p>
  <w:p w:rsidR="0081436D" w:rsidRDefault="0081436D">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36D" w:rsidRDefault="00BD165F">
    <w:pPr>
      <w:pStyle w:val="aa"/>
    </w:pPr>
    <w:r>
      <w:rPr>
        <w:noProof/>
      </w:rPr>
      <mc:AlternateContent>
        <mc:Choice Requires="wps">
          <w:drawing>
            <wp:anchor distT="0" distB="0" distL="114300" distR="114300" simplePos="0" relativeHeight="251660800" behindDoc="0" locked="0" layoutInCell="1" allowOverlap="1">
              <wp:simplePos x="0" y="0"/>
              <wp:positionH relativeFrom="margin">
                <wp:align>right</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1436D" w:rsidRDefault="00BD165F">
                          <w:pPr>
                            <w:pStyle w:val="aa"/>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0pt;height:144pt;width:144pt;mso-position-horizontal:right;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pPr>
                      <w:pStyle w:val="22"/>
                    </w:pPr>
                    <w:r>
                      <w:fldChar w:fldCharType="begin"/>
                    </w:r>
                    <w:r>
                      <w:instrText xml:space="preserve"> PAGE  \* MERGEFORMAT </w:instrText>
                    </w:r>
                    <w:r>
                      <w:fldChar w:fldCharType="separate"/>
                    </w:r>
                    <w:r>
                      <w:t>1</w:t>
                    </w:r>
                    <w:r>
                      <w:fldChar w:fldCharType="end"/>
                    </w:r>
                  </w:p>
                </w:txbxContent>
              </v:textbox>
            </v:shape>
          </w:pict>
        </mc:Fallback>
      </mc:AlternateContent>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36D" w:rsidRDefault="00BD165F">
    <w:pPr>
      <w:pStyle w:val="aa"/>
      <w:jc w:val="both"/>
    </w:pPr>
    <w:r>
      <w:rPr>
        <w:noProof/>
      </w:rPr>
      <mc:AlternateContent>
        <mc:Choice Requires="wps">
          <w:drawing>
            <wp:anchor distT="0" distB="0" distL="114300" distR="114300" simplePos="0" relativeHeight="2516526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shape 0"/>
              <wp:cNvGraphicFramePr/>
              <a:graphic xmlns:a="http://schemas.openxmlformats.org/drawingml/2006/main">
                <a:graphicData uri="http://schemas.microsoft.com/office/word/2010/wordprocessingShape">
                  <wps:wsp>
                    <wps:cNvSpPr/>
                    <wps:spPr>
                      <a:xfrm>
                        <a:off x="0" y="0"/>
                        <a:ext cx="1828800" cy="1828800"/>
                      </a:xfrm>
                      <a:custGeom>
                        <a:avLst/>
                        <a:gdLst/>
                        <a:ahLst/>
                        <a:cxnLst/>
                        <a:rect l="0" t="0" r="0" b="0"/>
                        <a:pathLst/>
                      </a:custGeom>
                      <a:noFill/>
                      <a:ln>
                        <a:noFill/>
                      </a:ln>
                    </wps:spPr>
                    <wps:txbx>
                      <w:txbxContent>
                        <w:p w:rsidR="0081436D" w:rsidRDefault="0081436D"/>
                        <w:p w:rsidR="0081436D" w:rsidRDefault="0081436D"/>
                      </w:txbxContent>
                    </wps:txbx>
                    <wps:bodyPr upright="1"/>
                  </wps:wsp>
                </a:graphicData>
              </a:graphic>
            </wp:anchor>
          </w:drawing>
        </mc:Choice>
        <mc:Fallback xmlns:wpsCustomData="http://www.wps.cn/officeDocument/2013/wpsCustomData" xmlns:w15="http://schemas.microsoft.com/office/word/2012/wordml">
          <w:pict>
            <v:shape id="shape 0" o:spid="_x0000_s1026" o:spt="100" style="position:absolute;left:0pt;margin-top:0pt;height:144pt;width:144pt;mso-position-horizontal:center;mso-position-horizontal-relative:margin;z-index:251659264;mso-width-relative:page;mso-height-relative:page;" filled="f" stroked="f" coordsize="1828800,1828800" o:gfxdata="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DP3U+60gAAAAUBAAAPAAAAAAAAAAEAIAAAACIA&#10;AABkcnMvZG93bnJldi54bWxQSwECFAAUAAAACACHTuJAtUCOjp0BAACBAwAADgAAAAAAAAABACAA&#10;AAAhAQAAZHJzL2Uyb0RvYy54bWxQSwUGAAAAAAYABgBZAQAAMAUAAAAA&#10;">
              <v:fill on="f" focussize="0,0"/>
              <v:stroke on="f"/>
              <v:imagedata o:title=""/>
              <o:lock v:ext="edit" aspectratio="f"/>
              <v:textbox>
                <w:txbxContent>
                  <w:p/>
                  <w:p/>
                </w:txbxContent>
              </v:textbox>
            </v:shape>
          </w:pict>
        </mc:Fallback>
      </mc:AlternateContent>
    </w:r>
    <w:r>
      <w:rPr>
        <w:noProof/>
      </w:rPr>
      <mc:AlternateContent>
        <mc:Choice Requires="wps">
          <w:drawing>
            <wp:anchor distT="0" distB="0" distL="114300" distR="114300" simplePos="0" relativeHeight="2516536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shape 1"/>
              <wp:cNvGraphicFramePr/>
              <a:graphic xmlns:a="http://schemas.openxmlformats.org/drawingml/2006/main">
                <a:graphicData uri="http://schemas.microsoft.com/office/word/2010/wordprocessingShape">
                  <wps:wsp>
                    <wps:cNvSpPr/>
                    <wps:spPr>
                      <a:xfrm>
                        <a:off x="0" y="0"/>
                        <a:ext cx="1828800" cy="1828800"/>
                      </a:xfrm>
                      <a:custGeom>
                        <a:avLst/>
                        <a:gdLst/>
                        <a:ahLst/>
                        <a:cxnLst/>
                        <a:rect l="0" t="0" r="0" b="0"/>
                        <a:pathLst/>
                      </a:custGeom>
                      <a:noFill/>
                      <a:ln>
                        <a:noFill/>
                      </a:ln>
                    </wps:spPr>
                    <wps:txbx>
                      <w:txbxContent>
                        <w:p w:rsidR="0081436D" w:rsidRDefault="0081436D"/>
                        <w:p w:rsidR="0081436D" w:rsidRDefault="0081436D"/>
                      </w:txbxContent>
                    </wps:txbx>
                    <wps:bodyPr upright="1"/>
                  </wps:wsp>
                </a:graphicData>
              </a:graphic>
            </wp:anchor>
          </w:drawing>
        </mc:Choice>
        <mc:Fallback xmlns:wpsCustomData="http://www.wps.cn/officeDocument/2013/wpsCustomData" xmlns:w15="http://schemas.microsoft.com/office/word/2012/wordml">
          <w:pict>
            <v:shape id="shape 1" o:spid="_x0000_s1026" o:spt="100" style="position:absolute;left:0pt;margin-top:0pt;height:144pt;width:144pt;mso-position-horizontal:center;mso-position-horizontal-relative:margin;z-index:251660288;mso-width-relative:page;mso-height-relative:page;" filled="f" stroked="f" coordsize="1828800,1828800" o:gfxdata="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M/dT7rSAAAABQEAAA8AAAAAAAAAAQAgAAAAIgAA&#10;AGRycy9kb3ducmV2LnhtbFBLAQIUABQAAAAIAIdO4kCvYMdznAEAAIEDAAAOAAAAAAAAAAEAIAAA&#10;ACEBAABkcnMvZTJvRG9jLnhtbFBLBQYAAAAABgAGAFkBAAAvBQAAAAA=&#10;">
              <v:fill on="f" focussize="0,0"/>
              <v:stroke on="f"/>
              <v:imagedata o:title=""/>
              <o:lock v:ext="edit" aspectratio="f"/>
              <v:textbox>
                <w:txbxContent>
                  <w:p/>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36D" w:rsidRDefault="00BD165F">
    <w:pPr>
      <w:pStyle w:val="aa"/>
    </w:pPr>
    <w:r>
      <w:rPr>
        <w:noProof/>
      </w:rPr>
      <mc:AlternateContent>
        <mc:Choice Requires="wps">
          <w:drawing>
            <wp:anchor distT="0" distB="0" distL="114300" distR="114300" simplePos="0" relativeHeight="2516618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1436D" w:rsidRDefault="00BD165F">
                          <w:pPr>
                            <w:pStyle w:val="aa"/>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pPr>
                      <w:pStyle w:val="22"/>
                    </w:pPr>
                    <w:r>
                      <w:fldChar w:fldCharType="begin"/>
                    </w:r>
                    <w:r>
                      <w:instrText xml:space="preserve"> PAGE  \* MERGEFORMAT </w:instrText>
                    </w:r>
                    <w:r>
                      <w:fldChar w:fldCharType="separate"/>
                    </w:r>
                    <w:r>
                      <w:t>1</w:t>
                    </w:r>
                    <w:r>
                      <w:fldChar w:fldCharType="end"/>
                    </w:r>
                  </w:p>
                </w:txbxContent>
              </v:textbox>
            </v:shape>
          </w:pict>
        </mc:Fallback>
      </mc:AlternateContent>
    </w:r>
    <w: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36D" w:rsidRDefault="00BD165F">
    <w:pPr>
      <w:pStyle w:val="aa"/>
      <w:jc w:val="center"/>
    </w:pPr>
    <w:r>
      <w:rPr>
        <w:noProof/>
      </w:rPr>
      <mc:AlternateContent>
        <mc:Choice Requires="wps">
          <w:drawing>
            <wp:anchor distT="0" distB="0" distL="114300" distR="114300" simplePos="0" relativeHeight="2516546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shape 2"/>
              <wp:cNvGraphicFramePr/>
              <a:graphic xmlns:a="http://schemas.openxmlformats.org/drawingml/2006/main">
                <a:graphicData uri="http://schemas.microsoft.com/office/word/2010/wordprocessingShape">
                  <wps:wsp>
                    <wps:cNvSpPr/>
                    <wps:spPr>
                      <a:xfrm>
                        <a:off x="0" y="0"/>
                        <a:ext cx="1828800" cy="1828800"/>
                      </a:xfrm>
                      <a:custGeom>
                        <a:avLst/>
                        <a:gdLst/>
                        <a:ahLst/>
                        <a:cxnLst/>
                        <a:rect l="0" t="0" r="0" b="0"/>
                        <a:pathLst/>
                      </a:custGeom>
                      <a:noFill/>
                      <a:ln>
                        <a:noFill/>
                      </a:ln>
                    </wps:spPr>
                    <wps:txbx>
                      <w:txbxContent>
                        <w:p w:rsidR="0081436D" w:rsidRDefault="0081436D"/>
                        <w:p w:rsidR="0081436D" w:rsidRDefault="0081436D"/>
                      </w:txbxContent>
                    </wps:txbx>
                    <wps:bodyPr upright="1"/>
                  </wps:wsp>
                </a:graphicData>
              </a:graphic>
            </wp:anchor>
          </w:drawing>
        </mc:Choice>
        <mc:Fallback xmlns:wpsCustomData="http://www.wps.cn/officeDocument/2013/wpsCustomData" xmlns:w15="http://schemas.microsoft.com/office/word/2012/wordml">
          <w:pict>
            <v:shape id="shape 2" o:spid="_x0000_s1026" o:spt="100" style="position:absolute;left:0pt;margin-top:0pt;height:144pt;width:144pt;mso-position-horizontal:center;mso-position-horizontal-relative:margin;z-index:251661312;mso-width-relative:page;mso-height-relative:page;" filled="f" stroked="f" coordsize="1828800,1828800" o:gfxdata="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DP3U+60gAAAAUBAAAPAAAAAAAAAAEAIAAAACIA&#10;AABkcnMvZG93bnJldi54bWxQSwECFAAUAAAACACHTuJAQ2ORrJ0BAACBAwAADgAAAAAAAAABACAA&#10;AAAhAQAAZHJzL2Uyb0RvYy54bWxQSwUGAAAAAAYABgBZAQAAMAUAAAAA&#10;">
              <v:fill on="f" focussize="0,0"/>
              <v:stroke on="f"/>
              <v:imagedata o:title=""/>
              <o:lock v:ext="edit" aspectratio="f"/>
              <v:textbox>
                <w:txbxContent>
                  <w:p/>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36D" w:rsidRDefault="00BD165F">
    <w:pPr>
      <w:pStyle w:val="aa"/>
    </w:pPr>
    <w:r>
      <w:rPr>
        <w:noProof/>
      </w:rPr>
      <mc:AlternateContent>
        <mc:Choice Requires="wps">
          <w:drawing>
            <wp:anchor distT="0" distB="0" distL="114300" distR="114300" simplePos="0" relativeHeight="2516628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1436D" w:rsidRDefault="00BD165F">
                          <w:pPr>
                            <w:pStyle w:val="aa"/>
                          </w:pPr>
                          <w:r>
                            <w:fldChar w:fldCharType="begin"/>
                          </w:r>
                          <w:r>
                            <w:instrText xml:space="preserve"> PAGE  \* MERGEFORMAT </w:instrText>
                          </w:r>
                          <w:r>
                            <w:fldChar w:fldCharType="separate"/>
                          </w:r>
                          <w:r w:rsidR="00C251A9">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9" o:spid="_x0000_s1031" type="#_x0000_t202" style="position:absolute;margin-left:0;margin-top:0;width:2in;height:2in;z-index:25166284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aHgrVGYCAAATBQAADgAAAAAAAAAAAAAAAAAuAgAAZHJzL2Uyb0Rv&#10;Yy54bWxQSwECLQAUAAYACAAAACEAcarRudcAAAAFAQAADwAAAAAAAAAAAAAAAADABAAAZHJzL2Rv&#10;d25yZXYueG1sUEsFBgAAAAAEAAQA8wAAAMQFAAAAAA==&#10;" filled="f" stroked="f" strokeweight=".5pt">
              <v:textbox style="mso-fit-shape-to-text:t" inset="0,0,0,0">
                <w:txbxContent>
                  <w:p w:rsidR="0081436D" w:rsidRDefault="00BD165F">
                    <w:pPr>
                      <w:pStyle w:val="aa"/>
                    </w:pPr>
                    <w:r>
                      <w:fldChar w:fldCharType="begin"/>
                    </w:r>
                    <w:r>
                      <w:instrText xml:space="preserve"> PAGE  \* MERGEFORMAT </w:instrText>
                    </w:r>
                    <w:r>
                      <w:fldChar w:fldCharType="separate"/>
                    </w:r>
                    <w:r w:rsidR="00C251A9">
                      <w:rPr>
                        <w:noProof/>
                      </w:rPr>
                      <w:t>1</w:t>
                    </w:r>
                    <w:r>
                      <w:fldChar w:fldCharType="end"/>
                    </w:r>
                  </w:p>
                </w:txbxContent>
              </v:textbox>
              <w10:wrap anchorx="margin"/>
            </v:shape>
          </w:pict>
        </mc:Fallback>
      </mc:AlternateContent>
    </w:r>
    <w: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36D" w:rsidRDefault="00BD165F">
    <w:pPr>
      <w:pStyle w:val="aa"/>
      <w:jc w:val="center"/>
    </w:pPr>
    <w:r>
      <w:rPr>
        <w:noProof/>
      </w:rPr>
      <mc:AlternateContent>
        <mc:Choice Requires="wps">
          <w:drawing>
            <wp:anchor distT="0" distB="0" distL="114300" distR="114300" simplePos="0" relativeHeight="2516556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shape 4"/>
              <wp:cNvGraphicFramePr/>
              <a:graphic xmlns:a="http://schemas.openxmlformats.org/drawingml/2006/main">
                <a:graphicData uri="http://schemas.microsoft.com/office/word/2010/wordprocessingShape">
                  <wps:wsp>
                    <wps:cNvSpPr/>
                    <wps:spPr>
                      <a:xfrm>
                        <a:off x="0" y="0"/>
                        <a:ext cx="1828800" cy="1828800"/>
                      </a:xfrm>
                      <a:custGeom>
                        <a:avLst/>
                        <a:gdLst/>
                        <a:ahLst/>
                        <a:cxnLst/>
                        <a:rect l="0" t="0" r="0" b="0"/>
                        <a:pathLst/>
                      </a:custGeom>
                      <a:noFill/>
                      <a:ln>
                        <a:noFill/>
                      </a:ln>
                    </wps:spPr>
                    <wps:txbx>
                      <w:txbxContent>
                        <w:p w:rsidR="0081436D" w:rsidRDefault="00BD165F">
                          <w:r>
                            <w:fldChar w:fldCharType="begin"/>
                          </w:r>
                          <w:r>
                            <w:instrText xml:space="preserve"> PAGE  \* MERGEFORMAT </w:instrText>
                          </w:r>
                          <w:r>
                            <w:fldChar w:fldCharType="separate"/>
                          </w:r>
                          <w:r>
                            <w:t>1</w:t>
                          </w:r>
                          <w:r>
                            <w:fldChar w:fldCharType="end"/>
                          </w:r>
                        </w:p>
                      </w:txbxContent>
                    </wps:txbx>
                    <wps:bodyPr lIns="0" tIns="0" rIns="0" bIns="0" upright="1"/>
                  </wps:wsp>
                </a:graphicData>
              </a:graphic>
            </wp:anchor>
          </w:drawing>
        </mc:Choice>
        <mc:Fallback xmlns:wpsCustomData="http://www.wps.cn/officeDocument/2013/wpsCustomData" xmlns:w15="http://schemas.microsoft.com/office/word/2012/wordml">
          <w:pict>
            <v:shape id="shape 4" o:spid="_x0000_s1026" o:spt="100" style="position:absolute;left:0pt;margin-top:0pt;height:144pt;width:144pt;mso-position-horizontal:center;mso-position-horizontal-relative:margin;z-index:251662336;mso-width-relative:page;mso-height-relative:page;" filled="f" stroked="f" coordsize="1828800,1828800" o:gfxdata="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BUsQE10wAAAAUBAAAP&#10;AAAAAAAAAAEAIAAAACIAAABkcnMvZG93bnJldi54bWxQSwECFAAUAAAACACHTuJAJsMvkqsBAACl&#10;AwAADgAAAAAAAAABACAAAAAiAQAAZHJzL2Uyb0RvYy54bWxQSwUGAAAAAAYABgBZAQAAPwUAAAAA&#10;">
              <v:fill on="f" focussize="0,0"/>
              <v:stroke on="f"/>
              <v:imagedata o:title=""/>
              <o:lock v:ext="edit" aspectratio="f"/>
              <v:textbox inset="0mm,0mm,0mm,0mm">
                <w:txbxContent>
                  <w:p>
                    <w:r>
                      <w:fldChar w:fldCharType="begin"/>
                    </w:r>
                    <w:r>
                      <w:instrText xml:space="preserve"> PAGE  \* MERGEFORMAT </w:instrText>
                    </w:r>
                    <w:r>
                      <w:fldChar w:fldCharType="separate"/>
                    </w:r>
                    <w:r>
                      <w:t>1</w:t>
                    </w:r>
                    <w:r>
                      <w:fldChar w:fldCharType="end"/>
                    </w:r>
                  </w:p>
                </w:txbxContent>
              </v:textbox>
            </v:shap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shape 5"/>
              <wp:cNvGraphicFramePr/>
              <a:graphic xmlns:a="http://schemas.openxmlformats.org/drawingml/2006/main">
                <a:graphicData uri="http://schemas.microsoft.com/office/word/2010/wordprocessingShape">
                  <wps:wsp>
                    <wps:cNvSpPr/>
                    <wps:spPr>
                      <a:xfrm>
                        <a:off x="0" y="0"/>
                        <a:ext cx="1828800" cy="1828800"/>
                      </a:xfrm>
                      <a:custGeom>
                        <a:avLst/>
                        <a:gdLst/>
                        <a:ahLst/>
                        <a:cxnLst/>
                        <a:rect l="0" t="0" r="0" b="0"/>
                        <a:pathLst/>
                      </a:custGeom>
                      <a:noFill/>
                      <a:ln>
                        <a:noFill/>
                      </a:ln>
                    </wps:spPr>
                    <wps:txbx>
                      <w:txbxContent>
                        <w:p w:rsidR="0081436D" w:rsidRDefault="0081436D"/>
                        <w:p w:rsidR="0081436D" w:rsidRDefault="0081436D"/>
                      </w:txbxContent>
                    </wps:txbx>
                    <wps:bodyPr upright="1"/>
                  </wps:wsp>
                </a:graphicData>
              </a:graphic>
            </wp:anchor>
          </w:drawing>
        </mc:Choice>
        <mc:Fallback xmlns:wpsCustomData="http://www.wps.cn/officeDocument/2013/wpsCustomData" xmlns:w15="http://schemas.microsoft.com/office/word/2012/wordml">
          <w:pict>
            <v:shape id="shape 5" o:spid="_x0000_s1026" o:spt="100" style="position:absolute;left:0pt;margin-top:0pt;height:144pt;width:144pt;mso-position-horizontal:center;mso-position-horizontal-relative:margin;z-index:251663360;mso-width-relative:page;mso-height-relative:page;" filled="f" stroked="f" coordsize="1828800,1828800" o:gfxdata="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DP3U+60gAAAAUBAAAPAAAAAAAAAAEAIAAAACIA&#10;AABkcnMvZG93bnJldi54bWxQSwECFAAUAAAACACHTuJAck0kQJ0BAACBAwAADgAAAAAAAAABACAA&#10;AAAhAQAAZHJzL2Uyb0RvYy54bWxQSwUGAAAAAAYABgBZAQAAMAUAAAAA&#10;">
              <v:fill on="f" focussize="0,0"/>
              <v:stroke on="f"/>
              <v:imagedata o:title=""/>
              <o:lock v:ext="edit" aspectratio="f"/>
              <v:textbox>
                <w:txbxContent>
                  <w:p/>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36D" w:rsidRDefault="00BD165F">
    <w:pPr>
      <w:pStyle w:val="aa"/>
    </w:pPr>
    <w:r>
      <w:rPr>
        <w:noProof/>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shape 6"/>
              <wp:cNvGraphicFramePr/>
              <a:graphic xmlns:a="http://schemas.openxmlformats.org/drawingml/2006/main">
                <a:graphicData uri="http://schemas.microsoft.com/office/word/2010/wordprocessingShape">
                  <wps:wsp>
                    <wps:cNvSpPr/>
                    <wps:spPr>
                      <a:xfrm>
                        <a:off x="0" y="0"/>
                        <a:ext cx="1828800" cy="1828800"/>
                      </a:xfrm>
                      <a:custGeom>
                        <a:avLst/>
                        <a:gdLst/>
                        <a:ahLst/>
                        <a:cxnLst/>
                        <a:rect l="0" t="0" r="0" b="0"/>
                        <a:pathLst/>
                      </a:custGeom>
                      <a:noFill/>
                      <a:ln>
                        <a:noFill/>
                      </a:ln>
                    </wps:spPr>
                    <wps:txbx>
                      <w:txbxContent>
                        <w:p w:rsidR="0081436D" w:rsidRDefault="00BD165F">
                          <w:pPr>
                            <w:jc w:val="center"/>
                          </w:pPr>
                          <w:r>
                            <w:fldChar w:fldCharType="begin"/>
                          </w:r>
                          <w:r>
                            <w:instrText xml:space="preserve"> PAGE  \* MERGEFORMAT </w:instrText>
                          </w:r>
                          <w:r>
                            <w:fldChar w:fldCharType="separate"/>
                          </w:r>
                          <w:r w:rsidR="00C251A9">
                            <w:rPr>
                              <w:noProof/>
                            </w:rPr>
                            <w:t>44</w:t>
                          </w:r>
                          <w:r>
                            <w:fldChar w:fldCharType="end"/>
                          </w:r>
                        </w:p>
                      </w:txbxContent>
                    </wps:txbx>
                    <wps:bodyPr lIns="0" tIns="0" rIns="0" bIns="0" upright="1"/>
                  </wps:wsp>
                </a:graphicData>
              </a:graphic>
            </wp:anchor>
          </w:drawing>
        </mc:Choice>
        <mc:Fallback>
          <w:pict>
            <v:shape id="shape 6" o:spid="_x0000_s1034" style="position:absolute;margin-left:0;margin-top:0;width:2in;height:2in;z-index:251657728;visibility:visible;mso-wrap-style:square;mso-wrap-distance-left:9pt;mso-wrap-distance-top:0;mso-wrap-distance-right:9pt;mso-wrap-distance-bottom:0;mso-position-horizontal:center;mso-position-horizontal-relative:margin;mso-position-vertical:absolute;mso-position-vertical-relative:text;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" adj="-11796480,,5400" path="al10800,10800@8@8@4@6,10800,10800,10800,10800@9@7l@30@31@17@18@24@25@15@16@32@33xe" filled="f" stroked="f">
              <v:stroke joinstyle="miter"/>
              <v:formulas/>
              <v:path arrowok="t" o:connecttype="custom" textboxrect="@1,@1,@1,@1"/>
              <v:textbox inset="0,0,0,0">
                <w:txbxContent>
                  <w:p w:rsidR="0081436D" w:rsidRDefault="00BD165F">
                    <w:pPr>
                      <w:jc w:val="center"/>
                    </w:pPr>
                    <w:r>
                      <w:fldChar w:fldCharType="begin"/>
                    </w:r>
                    <w:r>
                      <w:instrText xml:space="preserve"> PAGE  \* MERGEFORMAT </w:instrText>
                    </w:r>
                    <w:r>
                      <w:fldChar w:fldCharType="separate"/>
                    </w:r>
                    <w:r w:rsidR="00C251A9">
                      <w:rPr>
                        <w:noProof/>
                      </w:rPr>
                      <w:t>44</w:t>
                    </w:r>
                    <w:r>
                      <w:fldChar w:fldCharType="end"/>
                    </w:r>
                  </w:p>
                </w:txbxContent>
              </v:textbox>
              <w10:wrap anchorx="margin"/>
            </v:shape>
          </w:pict>
        </mc:Fallback>
      </mc:AlternateContent>
    </w:r>
    <w: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36D" w:rsidRDefault="00BD165F">
    <w:pPr>
      <w:pStyle w:val="aa"/>
      <w:jc w:val="center"/>
    </w:pPr>
    <w:r>
      <w:rPr>
        <w:noProof/>
      </w:rPr>
      <mc:AlternateContent>
        <mc:Choice Requires="wps">
          <w:drawing>
            <wp:anchor distT="0" distB="0" distL="114300" distR="114300" simplePos="0" relativeHeight="25165875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shape 7"/>
              <wp:cNvGraphicFramePr/>
              <a:graphic xmlns:a="http://schemas.openxmlformats.org/drawingml/2006/main">
                <a:graphicData uri="http://schemas.microsoft.com/office/word/2010/wordprocessingShape">
                  <wps:wsp>
                    <wps:cNvSpPr/>
                    <wps:spPr>
                      <a:xfrm>
                        <a:off x="0" y="0"/>
                        <a:ext cx="1828800" cy="1828800"/>
                      </a:xfrm>
                      <a:custGeom>
                        <a:avLst/>
                        <a:gdLst/>
                        <a:ahLst/>
                        <a:cxnLst/>
                        <a:rect l="0" t="0" r="0" b="0"/>
                        <a:pathLst/>
                      </a:custGeom>
                      <a:noFill/>
                      <a:ln>
                        <a:noFill/>
                      </a:ln>
                    </wps:spPr>
                    <wps:txbx>
                      <w:txbxContent>
                        <w:p w:rsidR="0081436D" w:rsidRDefault="00BD165F">
                          <w:pPr>
                            <w:jc w:val="center"/>
                          </w:pPr>
                          <w:r>
                            <w:fldChar w:fldCharType="begin"/>
                          </w:r>
                          <w:r>
                            <w:instrText xml:space="preserve"> PAGE  \* MERGEFORMAT </w:instrText>
                          </w:r>
                          <w:r>
                            <w:fldChar w:fldCharType="separate"/>
                          </w:r>
                          <w:r w:rsidR="00C251A9">
                            <w:rPr>
                              <w:noProof/>
                            </w:rPr>
                            <w:t>43</w:t>
                          </w:r>
                          <w:r>
                            <w:fldChar w:fldCharType="end"/>
                          </w:r>
                        </w:p>
                      </w:txbxContent>
                    </wps:txbx>
                    <wps:bodyPr lIns="0" tIns="0" rIns="0" bIns="0" upright="1"/>
                  </wps:wsp>
                </a:graphicData>
              </a:graphic>
            </wp:anchor>
          </w:drawing>
        </mc:Choice>
        <mc:Fallback>
          <w:pict>
            <v:shape id="shape 7" o:spid="_x0000_s1035" style="position:absolute;left:0;text-align:left;margin-left:0;margin-top:0;width:2in;height:2in;z-index:251658752;visibility:visible;mso-wrap-style:square;mso-wrap-distance-left:9pt;mso-wrap-distance-top:0;mso-wrap-distance-right:9pt;mso-wrap-distance-bottom:0;mso-position-horizontal:center;mso-position-horizontal-relative:margin;mso-position-vertical:absolute;mso-position-vertical-relative:text;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" adj="-11796480,,5400" path="al10800,10800@8@8@4@6,10800,10800,10800,10800@9@7l@30@31@17@18@24@25@15@16@32@33xe" filled="f" stroked="f">
              <v:stroke joinstyle="miter"/>
              <v:formulas/>
              <v:path arrowok="t" o:connecttype="custom" textboxrect="@1,@1,@1,@1"/>
              <v:textbox inset="0,0,0,0">
                <w:txbxContent>
                  <w:p w:rsidR="0081436D" w:rsidRDefault="00BD165F">
                    <w:pPr>
                      <w:jc w:val="center"/>
                    </w:pPr>
                    <w:r>
                      <w:fldChar w:fldCharType="begin"/>
                    </w:r>
                    <w:r>
                      <w:instrText xml:space="preserve"> PAGE  \* MERGEFORMAT </w:instrText>
                    </w:r>
                    <w:r>
                      <w:fldChar w:fldCharType="separate"/>
                    </w:r>
                    <w:r w:rsidR="00C251A9">
                      <w:rPr>
                        <w:noProof/>
                      </w:rPr>
                      <w:t>43</w:t>
                    </w:r>
                    <w:r>
                      <w:fldChar w:fldCharType="end"/>
                    </w:r>
                  </w:p>
                </w:txbxContent>
              </v:textbox>
              <w10:wrap anchorx="margin"/>
            </v:shape>
          </w:pict>
        </mc:Fallback>
      </mc:AlternateContent>
    </w:r>
    <w:r>
      <w:rPr>
        <w:noProof/>
      </w:rPr>
      <mc:AlternateContent>
        <mc:Choice Requires="wps">
          <w:drawing>
            <wp:anchor distT="0" distB="0" distL="114300" distR="114300" simplePos="0" relativeHeight="25165977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shape 8"/>
              <wp:cNvGraphicFramePr/>
              <a:graphic xmlns:a="http://schemas.openxmlformats.org/drawingml/2006/main">
                <a:graphicData uri="http://schemas.microsoft.com/office/word/2010/wordprocessingShape">
                  <wps:wsp>
                    <wps:cNvSpPr/>
                    <wps:spPr>
                      <a:xfrm>
                        <a:off x="0" y="0"/>
                        <a:ext cx="1828800" cy="1828800"/>
                      </a:xfrm>
                      <a:custGeom>
                        <a:avLst/>
                        <a:gdLst/>
                        <a:ahLst/>
                        <a:cxnLst/>
                        <a:rect l="0" t="0" r="0" b="0"/>
                        <a:pathLst/>
                      </a:custGeom>
                      <a:noFill/>
                      <a:ln>
                        <a:noFill/>
                      </a:ln>
                    </wps:spPr>
                    <wps:txbx>
                      <w:txbxContent>
                        <w:p w:rsidR="0081436D" w:rsidRDefault="0081436D">
                          <w:pPr>
                            <w:rPr>
                              <w:sz w:val="2"/>
                            </w:rPr>
                          </w:pPr>
                        </w:p>
                        <w:p w:rsidR="0081436D" w:rsidRDefault="0081436D"/>
                      </w:txbxContent>
                    </wps:txbx>
                    <wps:bodyPr upright="1"/>
                  </wps:wsp>
                </a:graphicData>
              </a:graphic>
            </wp:anchor>
          </w:drawing>
        </mc:Choice>
        <mc:Fallback xmlns:wpsCustomData="http://www.wps.cn/officeDocument/2013/wpsCustomData" xmlns:w15="http://schemas.microsoft.com/office/word/2012/wordml">
          <w:pict>
            <v:shape id="shape 8" o:spid="_x0000_s1026" o:spt="100" style="position:absolute;left:0pt;margin-top:0pt;height:144pt;width:144pt;mso-position-horizontal:center;mso-position-horizontal-relative:margin;z-index:251665408;mso-width-relative:page;mso-height-relative:page;" filled="f" stroked="f" coordsize="1828800,1828800" o:gfxdata="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DP3U+60gAAAAUBAAAPAAAAAAAAAAEAIAAAACIAAABk&#10;cnMvZG93bnJldi54bWxQSwECFAAUAAAACACHTuJAvRRpnZoBAACBAwAADgAAAAAAAAABACAAAAAh&#10;AQAAZHJzL2Uyb0RvYy54bWxQSwUGAAAAAAYABgBZAQAALQUAAAAA&#10;">
              <v:fill on="f" focussize="0,0"/>
              <v:stroke on="f"/>
              <v:imagedata o:title=""/>
              <o:lock v:ext="edit" aspectratio="f"/>
              <v:textbox>
                <w:txbxContent>
                  <w:p>
                    <w:pPr>
                      <w:rPr>
                        <w:sz w:val="2"/>
                      </w:rPr>
                    </w:pPr>
                  </w:p>
                  <w:p/>
                </w:txbxContent>
              </v:textbox>
            </v:shape>
          </w:pict>
        </mc:Fallback>
      </mc:AlternateContent>
    </w:r>
  </w:p>
  <w:p w:rsidR="0081436D" w:rsidRDefault="0081436D">
    <w:pPr>
      <w:pStyle w:val="a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165F" w:rsidRDefault="00BD165F">
      <w:r>
        <w:separator/>
      </w:r>
    </w:p>
  </w:footnote>
  <w:footnote w:type="continuationSeparator" w:id="0">
    <w:p w:rsidR="00BD165F" w:rsidRDefault="00BD16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36D" w:rsidRDefault="00BD165F">
    <w:pPr>
      <w:pStyle w:val="ab"/>
      <w:jc w:val="right"/>
      <w:rPr>
        <w:rFonts w:ascii="仿宋_GB2312" w:eastAsia="仿宋_GB2312" w:hAnsi="仿宋_GB2312"/>
      </w:rPr>
    </w:pPr>
    <w:r>
      <w:rPr>
        <w:rFonts w:ascii="仿宋_GB2312" w:eastAsia="仿宋_GB2312" w:hAnsi="仿宋_GB2312"/>
      </w:rPr>
      <w:t>光大</w:t>
    </w:r>
    <w:proofErr w:type="gramStart"/>
    <w:r>
      <w:rPr>
        <w:rFonts w:ascii="仿宋_GB2312" w:eastAsia="仿宋_GB2312" w:hAnsi="仿宋_GB2312"/>
      </w:rPr>
      <w:t>理财理财</w:t>
    </w:r>
    <w:proofErr w:type="gramEnd"/>
    <w:r>
      <w:rPr>
        <w:rFonts w:ascii="仿宋_GB2312" w:eastAsia="仿宋_GB2312" w:hAnsi="仿宋_GB2312"/>
      </w:rPr>
      <w:t>产品托管协议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36D" w:rsidRDefault="00BD165F">
    <w:pPr>
      <w:pStyle w:val="ab"/>
      <w:jc w:val="right"/>
      <w:rPr>
        <w:rFonts w:ascii="仿宋_GB2312" w:eastAsia="仿宋_GB2312" w:hAnsi="仿宋_GB2312"/>
      </w:rPr>
    </w:pPr>
    <w:r>
      <w:rPr>
        <w:rFonts w:ascii="仿宋_GB2312" w:eastAsia="仿宋_GB2312" w:hAnsi="仿宋_GB2312"/>
      </w:rPr>
      <w:t>光大</w:t>
    </w:r>
    <w:proofErr w:type="gramStart"/>
    <w:r>
      <w:rPr>
        <w:rFonts w:ascii="仿宋_GB2312" w:eastAsia="仿宋_GB2312" w:hAnsi="仿宋_GB2312"/>
      </w:rPr>
      <w:t>理财理财</w:t>
    </w:r>
    <w:proofErr w:type="gramEnd"/>
    <w:r>
      <w:rPr>
        <w:rFonts w:ascii="仿宋_GB2312" w:eastAsia="仿宋_GB2312" w:hAnsi="仿宋_GB2312"/>
      </w:rPr>
      <w:t>产品托管协议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E413B3"/>
    <w:multiLevelType w:val="multilevel"/>
    <w:tmpl w:val="23E413B3"/>
    <w:lvl w:ilvl="0">
      <w:start w:val="1"/>
      <w:numFmt w:val="decimal"/>
      <w:suff w:val="nothing"/>
      <w:lvlText w:val="（%1）"/>
      <w:lvlJc w:val="left"/>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337D087D"/>
    <w:multiLevelType w:val="multilevel"/>
    <w:tmpl w:val="337D087D"/>
    <w:lvl w:ilvl="0">
      <w:start w:val="1"/>
      <w:numFmt w:val="decimal"/>
      <w:suff w:val="nothing"/>
      <w:lvlText w:val="（%1）"/>
      <w:lvlJc w:val="left"/>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39A4083C"/>
    <w:multiLevelType w:val="multilevel"/>
    <w:tmpl w:val="39A4083C"/>
    <w:lvl w:ilvl="0">
      <w:start w:val="1"/>
      <w:numFmt w:val="decimal"/>
      <w:suff w:val="nothing"/>
      <w:lvlText w:val="（%1）"/>
      <w:lvlJc w:val="left"/>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44E36E08"/>
    <w:multiLevelType w:val="multilevel"/>
    <w:tmpl w:val="44E36E08"/>
    <w:lvl w:ilvl="0">
      <w:start w:val="1"/>
      <w:numFmt w:val="decimal"/>
      <w:suff w:val="nothing"/>
      <w:lvlText w:val="（%1）"/>
      <w:lvlJc w:val="left"/>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58E16FC5"/>
    <w:multiLevelType w:val="multilevel"/>
    <w:tmpl w:val="58E16FC5"/>
    <w:lvl w:ilvl="0">
      <w:start w:val="4"/>
      <w:numFmt w:val="chineseCounting"/>
      <w:suff w:val="nothing"/>
      <w:lvlText w:val="（%1）"/>
      <w:lvlJc w:val="left"/>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6E4F25C7"/>
    <w:multiLevelType w:val="multilevel"/>
    <w:tmpl w:val="6E4F25C7"/>
    <w:lvl w:ilvl="0">
      <w:start w:val="3"/>
      <w:numFmt w:val="chineseCounting"/>
      <w:suff w:val="nothing"/>
      <w:lvlText w:val="%1、"/>
      <w:lvlJc w:val="left"/>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79712B62"/>
    <w:multiLevelType w:val="multilevel"/>
    <w:tmpl w:val="79712B62"/>
    <w:lvl w:ilvl="0">
      <w:start w:val="1"/>
      <w:numFmt w:val="chineseCounting"/>
      <w:pStyle w:val="1"/>
      <w:suff w:val="nothing"/>
      <w:lvlText w:val="%1、"/>
      <w:lvlJc w:val="left"/>
      <w:pPr>
        <w:tabs>
          <w:tab w:val="left" w:pos="5246"/>
        </w:tabs>
        <w:ind w:left="5246" w:firstLine="0"/>
      </w:pPr>
    </w:lvl>
    <w:lvl w:ilvl="1">
      <w:start w:val="1"/>
      <w:numFmt w:val="chineseCounting"/>
      <w:suff w:val="nothing"/>
      <w:lvlText w:val="（%2）"/>
      <w:lvlJc w:val="left"/>
      <w:pPr>
        <w:ind w:left="0" w:firstLine="0"/>
      </w:pPr>
      <w:rPr>
        <w:rFonts w:ascii="宋体" w:eastAsia="宋体" w:hAnsi="宋体"/>
      </w:rPr>
    </w:lvl>
    <w:lvl w:ilvl="2">
      <w:start w:val="1"/>
      <w:numFmt w:val="decimal"/>
      <w:pStyle w:val="2"/>
      <w:suff w:val="nothing"/>
      <w:lvlText w:val="%3、"/>
      <w:lvlJc w:val="left"/>
      <w:pPr>
        <w:ind w:left="0" w:firstLine="400"/>
      </w:pPr>
      <w:rPr>
        <w:rFonts w:ascii="宋体" w:eastAsia="宋体" w:hAnsi="宋体"/>
      </w:rPr>
    </w:lvl>
    <w:lvl w:ilvl="3">
      <w:start w:val="1"/>
      <w:numFmt w:val="decimal"/>
      <w:pStyle w:val="4"/>
      <w:suff w:val="nothing"/>
      <w:lvlText w:val="（%4）"/>
      <w:lvlJc w:val="left"/>
      <w:pPr>
        <w:ind w:left="0" w:firstLine="402"/>
      </w:pPr>
      <w:rPr>
        <w:rFonts w:ascii="宋体" w:eastAsia="宋体" w:hAnsi="宋体"/>
      </w:rPr>
    </w:lvl>
    <w:lvl w:ilvl="4">
      <w:start w:val="1"/>
      <w:numFmt w:val="decimalEnclosedCircle"/>
      <w:pStyle w:val="5"/>
      <w:suff w:val="nothing"/>
      <w:lvlText w:val="%5"/>
      <w:lvlJc w:val="left"/>
      <w:pPr>
        <w:ind w:left="0" w:firstLine="402"/>
      </w:pPr>
    </w:lvl>
    <w:lvl w:ilvl="5">
      <w:start w:val="1"/>
      <w:numFmt w:val="decimal"/>
      <w:pStyle w:val="6"/>
      <w:suff w:val="nothing"/>
      <w:lvlText w:val="%6）"/>
      <w:lvlJc w:val="left"/>
      <w:pPr>
        <w:ind w:left="0" w:firstLine="402"/>
      </w:pPr>
    </w:lvl>
    <w:lvl w:ilvl="6">
      <w:start w:val="1"/>
      <w:numFmt w:val="lowerLetter"/>
      <w:pStyle w:val="7"/>
      <w:suff w:val="nothing"/>
      <w:lvlText w:val="%7．"/>
      <w:lvlJc w:val="left"/>
      <w:pPr>
        <w:ind w:left="0" w:firstLine="402"/>
      </w:pPr>
    </w:lvl>
    <w:lvl w:ilvl="7">
      <w:start w:val="1"/>
      <w:numFmt w:val="lowerLetter"/>
      <w:pStyle w:val="8"/>
      <w:suff w:val="nothing"/>
      <w:lvlText w:val="%8）"/>
      <w:lvlJc w:val="left"/>
      <w:pPr>
        <w:ind w:left="0" w:firstLine="402"/>
      </w:pPr>
    </w:lvl>
    <w:lvl w:ilvl="8">
      <w:start w:val="1"/>
      <w:numFmt w:val="lowerRoman"/>
      <w:pStyle w:val="9"/>
      <w:suff w:val="nothing"/>
      <w:lvlText w:val="%9 "/>
      <w:lvlJc w:val="left"/>
      <w:pPr>
        <w:ind w:left="0" w:firstLine="402"/>
      </w:pPr>
    </w:lvl>
  </w:abstractNum>
  <w:num w:numId="1">
    <w:abstractNumId w:val="6"/>
  </w:num>
  <w:num w:numId="2">
    <w:abstractNumId w:val="2"/>
  </w:num>
  <w:num w:numId="3">
    <w:abstractNumId w:val="1"/>
  </w:num>
  <w:num w:numId="4">
    <w:abstractNumId w:val="3"/>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proofState w:spelling="clean" w:grammar="clean"/>
  <w:doNotTrackMoves/>
  <w:defaultTabStop w:val="4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255"/>
    <w:rsid w:val="00000930"/>
    <w:rsid w:val="000031F7"/>
    <w:rsid w:val="00004364"/>
    <w:rsid w:val="00021185"/>
    <w:rsid w:val="000628EA"/>
    <w:rsid w:val="0007322B"/>
    <w:rsid w:val="00077359"/>
    <w:rsid w:val="000A0655"/>
    <w:rsid w:val="000D457A"/>
    <w:rsid w:val="000F0394"/>
    <w:rsid w:val="00112B91"/>
    <w:rsid w:val="001449AD"/>
    <w:rsid w:val="001B3A59"/>
    <w:rsid w:val="001D3CA9"/>
    <w:rsid w:val="002073AD"/>
    <w:rsid w:val="00215C08"/>
    <w:rsid w:val="00245402"/>
    <w:rsid w:val="0024542C"/>
    <w:rsid w:val="00261614"/>
    <w:rsid w:val="002778B8"/>
    <w:rsid w:val="00293636"/>
    <w:rsid w:val="002C4D84"/>
    <w:rsid w:val="002D4B89"/>
    <w:rsid w:val="00307918"/>
    <w:rsid w:val="00355424"/>
    <w:rsid w:val="003613E0"/>
    <w:rsid w:val="00386199"/>
    <w:rsid w:val="00395039"/>
    <w:rsid w:val="00396D36"/>
    <w:rsid w:val="003D3B35"/>
    <w:rsid w:val="003D46BF"/>
    <w:rsid w:val="00405813"/>
    <w:rsid w:val="004148D8"/>
    <w:rsid w:val="00455792"/>
    <w:rsid w:val="0049135C"/>
    <w:rsid w:val="004A4523"/>
    <w:rsid w:val="004C31C7"/>
    <w:rsid w:val="004D01AD"/>
    <w:rsid w:val="004E3C9A"/>
    <w:rsid w:val="004F1B75"/>
    <w:rsid w:val="00504E3D"/>
    <w:rsid w:val="005075B2"/>
    <w:rsid w:val="00514D1A"/>
    <w:rsid w:val="005228B9"/>
    <w:rsid w:val="00560417"/>
    <w:rsid w:val="00596C4D"/>
    <w:rsid w:val="005A43A6"/>
    <w:rsid w:val="005B2BF1"/>
    <w:rsid w:val="005D01BD"/>
    <w:rsid w:val="006407F1"/>
    <w:rsid w:val="00697B28"/>
    <w:rsid w:val="006A271F"/>
    <w:rsid w:val="00750394"/>
    <w:rsid w:val="0079615E"/>
    <w:rsid w:val="007E5DD3"/>
    <w:rsid w:val="00813A4D"/>
    <w:rsid w:val="0081436D"/>
    <w:rsid w:val="00840188"/>
    <w:rsid w:val="00852F0C"/>
    <w:rsid w:val="00896FFD"/>
    <w:rsid w:val="008C6476"/>
    <w:rsid w:val="00931884"/>
    <w:rsid w:val="009F417E"/>
    <w:rsid w:val="00A3424F"/>
    <w:rsid w:val="00A72813"/>
    <w:rsid w:val="00A860FA"/>
    <w:rsid w:val="00AA2A7A"/>
    <w:rsid w:val="00B10878"/>
    <w:rsid w:val="00B364A1"/>
    <w:rsid w:val="00B6430B"/>
    <w:rsid w:val="00BD165F"/>
    <w:rsid w:val="00C251A9"/>
    <w:rsid w:val="00C426F5"/>
    <w:rsid w:val="00CA1AAA"/>
    <w:rsid w:val="00CA529C"/>
    <w:rsid w:val="00CC1740"/>
    <w:rsid w:val="00D876C5"/>
    <w:rsid w:val="00D91068"/>
    <w:rsid w:val="00D9446E"/>
    <w:rsid w:val="00DA7255"/>
    <w:rsid w:val="00DB314E"/>
    <w:rsid w:val="00DD48B6"/>
    <w:rsid w:val="00DD67F7"/>
    <w:rsid w:val="00E0262C"/>
    <w:rsid w:val="00E6483A"/>
    <w:rsid w:val="00E77578"/>
    <w:rsid w:val="00E85DAC"/>
    <w:rsid w:val="00EA6403"/>
    <w:rsid w:val="00EA70AE"/>
    <w:rsid w:val="00EA740F"/>
    <w:rsid w:val="00EE2E77"/>
    <w:rsid w:val="00F4080B"/>
    <w:rsid w:val="00F86E1E"/>
    <w:rsid w:val="01630F53"/>
    <w:rsid w:val="01C247F0"/>
    <w:rsid w:val="05BD0878"/>
    <w:rsid w:val="081C165C"/>
    <w:rsid w:val="0D192F41"/>
    <w:rsid w:val="0DA67900"/>
    <w:rsid w:val="0E424B41"/>
    <w:rsid w:val="0F9E17AE"/>
    <w:rsid w:val="10863CAA"/>
    <w:rsid w:val="10F0623A"/>
    <w:rsid w:val="11263FD1"/>
    <w:rsid w:val="1338143E"/>
    <w:rsid w:val="134E03BB"/>
    <w:rsid w:val="17391A3E"/>
    <w:rsid w:val="185B5E04"/>
    <w:rsid w:val="187F72BD"/>
    <w:rsid w:val="1EA965EB"/>
    <w:rsid w:val="1ECD1092"/>
    <w:rsid w:val="1FDE39D7"/>
    <w:rsid w:val="225537E6"/>
    <w:rsid w:val="25E825F6"/>
    <w:rsid w:val="288F3A38"/>
    <w:rsid w:val="2A0D6C0A"/>
    <w:rsid w:val="2AC92B9C"/>
    <w:rsid w:val="2BD76476"/>
    <w:rsid w:val="2C4E043E"/>
    <w:rsid w:val="2C7F0152"/>
    <w:rsid w:val="30AF76EE"/>
    <w:rsid w:val="31961F6A"/>
    <w:rsid w:val="32675722"/>
    <w:rsid w:val="34552A44"/>
    <w:rsid w:val="37BC24D5"/>
    <w:rsid w:val="3812280E"/>
    <w:rsid w:val="3AA35FBF"/>
    <w:rsid w:val="3E6A08F3"/>
    <w:rsid w:val="40C916D7"/>
    <w:rsid w:val="416615B8"/>
    <w:rsid w:val="42FE68EF"/>
    <w:rsid w:val="430F3314"/>
    <w:rsid w:val="452A62CF"/>
    <w:rsid w:val="465935F7"/>
    <w:rsid w:val="493D2A55"/>
    <w:rsid w:val="497054E8"/>
    <w:rsid w:val="497E5D5E"/>
    <w:rsid w:val="4A454BAD"/>
    <w:rsid w:val="4AD35AD6"/>
    <w:rsid w:val="4D69470F"/>
    <w:rsid w:val="4F681226"/>
    <w:rsid w:val="52F80BAD"/>
    <w:rsid w:val="5D5A39F7"/>
    <w:rsid w:val="5E6076B5"/>
    <w:rsid w:val="63562387"/>
    <w:rsid w:val="68F5313F"/>
    <w:rsid w:val="6A93299D"/>
    <w:rsid w:val="6A933BC6"/>
    <w:rsid w:val="6BB640C5"/>
    <w:rsid w:val="6C5A7C50"/>
    <w:rsid w:val="6DAC0977"/>
    <w:rsid w:val="70BB79D3"/>
    <w:rsid w:val="714E33F1"/>
    <w:rsid w:val="797F7701"/>
    <w:rsid w:val="79A277C6"/>
    <w:rsid w:val="7A425EC5"/>
    <w:rsid w:val="7C4A6D94"/>
    <w:rsid w:val="7EDE37B3"/>
    <w:rsid w:val="7FA422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semiHidden="1" w:uiPriority="9" w:unhideWhenUsed="1"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1" w:unhideWhenUsed="1"/>
    <w:lsdException w:name="footnote text" w:qFormat="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unhideWhenUsed="1" w:qFormat="1"/>
    <w:lsdException w:name="envelope address" w:semiHidden="1" w:unhideWhenUsed="1"/>
    <w:lsdException w:name="envelope return" w:semiHidden="1" w:unhideWhenUsed="1"/>
    <w:lsdException w:name="footnote reference" w:unhideWhenUsed="1" w:qFormat="1"/>
    <w:lsdException w:name="annotation reference" w:uiPriority="0"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nhideWhenUsed="1" w:qFormat="1"/>
    <w:lsdException w:name="Body Text 3" w:semiHidden="1" w:unhideWhenUsed="1"/>
    <w:lsdException w:name="Body Text Indent 2" w:semiHidden="1" w:unhideWhenUsed="1"/>
    <w:lsdException w:name="Body Text Indent 3" w:uiPriority="0" w:qFormat="1"/>
    <w:lsdException w:name="Block Text" w:semiHidden="1" w:unhideWhenUsed="1"/>
    <w:lsdException w:name="Hyperlink" w:uiPriority="0" w:qFormat="1"/>
    <w:lsdException w:name="FollowedHyperlink" w:uiPriority="0" w:qFormat="1"/>
    <w:lsdException w:name="Strong" w:uiPriority="0"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0"/>
    <w:qFormat/>
  </w:style>
  <w:style w:type="paragraph" w:styleId="1">
    <w:name w:val="heading 1"/>
    <w:basedOn w:val="a"/>
    <w:next w:val="a"/>
    <w:qFormat/>
    <w:pPr>
      <w:keepNext/>
      <w:keepLines/>
      <w:numPr>
        <w:numId w:val="1"/>
      </w:numPr>
      <w:tabs>
        <w:tab w:val="left" w:pos="0"/>
      </w:tabs>
      <w:spacing w:before="340" w:after="330" w:line="578" w:lineRule="auto"/>
      <w:outlineLvl w:val="0"/>
    </w:pPr>
    <w:rPr>
      <w:b/>
      <w:sz w:val="44"/>
    </w:rPr>
  </w:style>
  <w:style w:type="paragraph" w:styleId="2">
    <w:name w:val="heading 2"/>
    <w:basedOn w:val="a"/>
    <w:next w:val="a"/>
    <w:qFormat/>
    <w:pPr>
      <w:keepNext/>
      <w:keepLines/>
      <w:numPr>
        <w:ilvl w:val="2"/>
        <w:numId w:val="1"/>
      </w:numPr>
      <w:spacing w:before="260" w:after="260" w:line="416" w:lineRule="auto"/>
      <w:outlineLvl w:val="1"/>
    </w:pPr>
    <w:rPr>
      <w:rFonts w:ascii="Arial" w:eastAsia="黑体" w:hAnsi="Arial"/>
      <w:b/>
      <w:bCs/>
      <w:sz w:val="32"/>
      <w:szCs w:val="32"/>
    </w:rPr>
  </w:style>
  <w:style w:type="paragraph" w:styleId="4">
    <w:name w:val="heading 4"/>
    <w:basedOn w:val="a"/>
    <w:next w:val="a"/>
    <w:qFormat/>
    <w:pPr>
      <w:keepNext/>
      <w:keepLines/>
      <w:numPr>
        <w:ilvl w:val="3"/>
        <w:numId w:val="1"/>
      </w:numPr>
      <w:spacing w:before="280" w:after="290" w:line="372" w:lineRule="auto"/>
      <w:outlineLvl w:val="3"/>
    </w:pPr>
    <w:rPr>
      <w:rFonts w:ascii="Arial" w:eastAsia="黑体" w:hAnsi="Arial"/>
      <w:b/>
      <w:sz w:val="28"/>
    </w:rPr>
  </w:style>
  <w:style w:type="paragraph" w:styleId="5">
    <w:name w:val="heading 5"/>
    <w:basedOn w:val="a"/>
    <w:next w:val="a"/>
    <w:qFormat/>
    <w:pPr>
      <w:keepNext/>
      <w:keepLines/>
      <w:numPr>
        <w:ilvl w:val="4"/>
        <w:numId w:val="1"/>
      </w:numPr>
      <w:spacing w:before="280" w:after="290" w:line="372" w:lineRule="auto"/>
      <w:outlineLvl w:val="4"/>
    </w:pPr>
    <w:rPr>
      <w:b/>
      <w:sz w:val="28"/>
    </w:rPr>
  </w:style>
  <w:style w:type="paragraph" w:styleId="6">
    <w:name w:val="heading 6"/>
    <w:basedOn w:val="a"/>
    <w:next w:val="a"/>
    <w:qFormat/>
    <w:pPr>
      <w:keepNext/>
      <w:keepLines/>
      <w:numPr>
        <w:ilvl w:val="5"/>
        <w:numId w:val="1"/>
      </w:numPr>
      <w:spacing w:before="240" w:after="64" w:line="317" w:lineRule="auto"/>
      <w:outlineLvl w:val="5"/>
    </w:pPr>
    <w:rPr>
      <w:rFonts w:ascii="Arial" w:eastAsia="黑体" w:hAnsi="Arial"/>
      <w:b/>
      <w:sz w:val="24"/>
    </w:rPr>
  </w:style>
  <w:style w:type="paragraph" w:styleId="7">
    <w:name w:val="heading 7"/>
    <w:basedOn w:val="a"/>
    <w:next w:val="a"/>
    <w:qFormat/>
    <w:pPr>
      <w:keepNext/>
      <w:keepLines/>
      <w:numPr>
        <w:ilvl w:val="6"/>
        <w:numId w:val="1"/>
      </w:numPr>
      <w:spacing w:before="240" w:after="64" w:line="317" w:lineRule="auto"/>
      <w:outlineLvl w:val="6"/>
    </w:pPr>
    <w:rPr>
      <w:b/>
      <w:sz w:val="24"/>
    </w:rPr>
  </w:style>
  <w:style w:type="paragraph" w:styleId="8">
    <w:name w:val="heading 8"/>
    <w:basedOn w:val="a"/>
    <w:next w:val="a"/>
    <w:qFormat/>
    <w:pPr>
      <w:keepNext/>
      <w:keepLines/>
      <w:numPr>
        <w:ilvl w:val="7"/>
        <w:numId w:val="1"/>
      </w:numPr>
      <w:spacing w:before="240" w:after="64" w:line="317" w:lineRule="auto"/>
      <w:outlineLvl w:val="7"/>
    </w:pPr>
    <w:rPr>
      <w:rFonts w:ascii="Arial" w:eastAsia="黑体" w:hAnsi="Arial"/>
      <w:sz w:val="24"/>
    </w:rPr>
  </w:style>
  <w:style w:type="paragraph" w:styleId="9">
    <w:name w:val="heading 9"/>
    <w:basedOn w:val="a"/>
    <w:next w:val="a"/>
    <w:qFormat/>
    <w:pPr>
      <w:keepNext/>
      <w:keepLines/>
      <w:numPr>
        <w:ilvl w:val="8"/>
        <w:numId w:val="1"/>
      </w:numPr>
      <w:spacing w:before="240" w:after="64" w:line="317"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引文目录1"/>
    <w:basedOn w:val="a"/>
    <w:next w:val="a"/>
    <w:qFormat/>
    <w:pPr>
      <w:ind w:leftChars="200" w:left="420"/>
    </w:pPr>
  </w:style>
  <w:style w:type="paragraph" w:styleId="70">
    <w:name w:val="toc 7"/>
    <w:basedOn w:val="a"/>
    <w:next w:val="a"/>
    <w:qFormat/>
    <w:pPr>
      <w:ind w:left="2520"/>
    </w:pPr>
  </w:style>
  <w:style w:type="paragraph" w:styleId="a3">
    <w:name w:val="annotation text"/>
    <w:basedOn w:val="a"/>
    <w:qFormat/>
  </w:style>
  <w:style w:type="paragraph" w:styleId="a4">
    <w:name w:val="Body Text"/>
    <w:basedOn w:val="a"/>
    <w:qFormat/>
    <w:pPr>
      <w:spacing w:line="360" w:lineRule="auto"/>
    </w:pPr>
    <w:rPr>
      <w:rFonts w:ascii="仿宋_GB2312" w:eastAsia="仿宋_GB2312"/>
      <w:sz w:val="24"/>
    </w:rPr>
  </w:style>
  <w:style w:type="paragraph" w:styleId="a5">
    <w:name w:val="Body Text Indent"/>
    <w:basedOn w:val="a"/>
    <w:qFormat/>
    <w:pPr>
      <w:spacing w:line="360" w:lineRule="auto"/>
      <w:ind w:firstLine="425"/>
    </w:pPr>
  </w:style>
  <w:style w:type="paragraph" w:styleId="50">
    <w:name w:val="toc 5"/>
    <w:basedOn w:val="a"/>
    <w:next w:val="a"/>
    <w:qFormat/>
    <w:pPr>
      <w:ind w:left="1680"/>
    </w:pPr>
  </w:style>
  <w:style w:type="paragraph" w:styleId="3">
    <w:name w:val="toc 3"/>
    <w:basedOn w:val="a"/>
    <w:next w:val="a"/>
    <w:qFormat/>
    <w:pPr>
      <w:ind w:left="840"/>
    </w:pPr>
  </w:style>
  <w:style w:type="paragraph" w:styleId="a6">
    <w:name w:val="Plain Text"/>
    <w:basedOn w:val="a"/>
    <w:qFormat/>
    <w:rPr>
      <w:rFonts w:ascii="宋体" w:hAnsi="Courier New"/>
    </w:rPr>
  </w:style>
  <w:style w:type="paragraph" w:styleId="80">
    <w:name w:val="toc 8"/>
    <w:basedOn w:val="a"/>
    <w:next w:val="a"/>
    <w:qFormat/>
    <w:pPr>
      <w:ind w:left="2940"/>
    </w:pPr>
  </w:style>
  <w:style w:type="paragraph" w:styleId="a7">
    <w:name w:val="Date"/>
    <w:basedOn w:val="a"/>
    <w:next w:val="a"/>
    <w:qFormat/>
  </w:style>
  <w:style w:type="paragraph" w:styleId="a8">
    <w:name w:val="endnote text"/>
    <w:link w:val="Char"/>
    <w:uiPriority w:val="99"/>
    <w:semiHidden/>
    <w:unhideWhenUsed/>
    <w:qFormat/>
  </w:style>
  <w:style w:type="paragraph" w:styleId="a9">
    <w:name w:val="Balloon Text"/>
    <w:basedOn w:val="a"/>
    <w:qFormat/>
    <w:rPr>
      <w:sz w:val="18"/>
      <w:szCs w:val="18"/>
    </w:rPr>
  </w:style>
  <w:style w:type="paragraph" w:styleId="aa">
    <w:name w:val="footer"/>
    <w:basedOn w:val="a"/>
    <w:qFormat/>
    <w:pPr>
      <w:tabs>
        <w:tab w:val="center" w:pos="4153"/>
        <w:tab w:val="right" w:pos="8306"/>
      </w:tabs>
    </w:pPr>
    <w:rPr>
      <w:sz w:val="18"/>
      <w:szCs w:val="18"/>
    </w:rPr>
  </w:style>
  <w:style w:type="paragraph" w:styleId="ab">
    <w:name w:val="header"/>
    <w:basedOn w:val="a"/>
    <w:qFormat/>
    <w:pPr>
      <w:pBdr>
        <w:bottom w:val="single" w:sz="6" w:space="1" w:color="000000"/>
      </w:pBdr>
      <w:tabs>
        <w:tab w:val="center" w:pos="4153"/>
        <w:tab w:val="right" w:pos="8306"/>
      </w:tabs>
      <w:jc w:val="center"/>
    </w:pPr>
    <w:rPr>
      <w:sz w:val="18"/>
      <w:szCs w:val="18"/>
    </w:rPr>
  </w:style>
  <w:style w:type="paragraph" w:styleId="11">
    <w:name w:val="toc 1"/>
    <w:basedOn w:val="a"/>
    <w:next w:val="a"/>
    <w:qFormat/>
  </w:style>
  <w:style w:type="paragraph" w:styleId="40">
    <w:name w:val="toc 4"/>
    <w:basedOn w:val="a"/>
    <w:next w:val="a"/>
    <w:qFormat/>
    <w:pPr>
      <w:ind w:left="1260"/>
    </w:pPr>
  </w:style>
  <w:style w:type="paragraph" w:styleId="ac">
    <w:name w:val="Subtitle"/>
    <w:link w:val="Char0"/>
    <w:uiPriority w:val="11"/>
    <w:qFormat/>
    <w:pPr>
      <w:spacing w:before="200" w:after="200"/>
    </w:pPr>
    <w:rPr>
      <w:sz w:val="24"/>
      <w:szCs w:val="24"/>
    </w:rPr>
  </w:style>
  <w:style w:type="paragraph" w:styleId="ad">
    <w:name w:val="footnote text"/>
    <w:basedOn w:val="a"/>
    <w:link w:val="Char1"/>
    <w:uiPriority w:val="99"/>
    <w:qFormat/>
    <w:pPr>
      <w:spacing w:before="156" w:after="156"/>
      <w:jc w:val="center"/>
      <w:outlineLvl w:val="1"/>
    </w:pPr>
    <w:rPr>
      <w:sz w:val="18"/>
    </w:rPr>
  </w:style>
  <w:style w:type="paragraph" w:styleId="60">
    <w:name w:val="toc 6"/>
    <w:basedOn w:val="a"/>
    <w:next w:val="a"/>
    <w:qFormat/>
    <w:pPr>
      <w:ind w:left="2100"/>
    </w:pPr>
  </w:style>
  <w:style w:type="paragraph" w:styleId="30">
    <w:name w:val="Body Text Indent 3"/>
    <w:basedOn w:val="a"/>
    <w:qFormat/>
    <w:pPr>
      <w:spacing w:after="120"/>
      <w:ind w:left="420"/>
    </w:pPr>
    <w:rPr>
      <w:sz w:val="16"/>
      <w:szCs w:val="16"/>
    </w:rPr>
  </w:style>
  <w:style w:type="paragraph" w:styleId="ae">
    <w:name w:val="table of figures"/>
    <w:next w:val="a"/>
    <w:uiPriority w:val="99"/>
    <w:unhideWhenUsed/>
    <w:qFormat/>
  </w:style>
  <w:style w:type="paragraph" w:styleId="20">
    <w:name w:val="toc 2"/>
    <w:basedOn w:val="a"/>
    <w:next w:val="a"/>
    <w:qFormat/>
    <w:pPr>
      <w:ind w:left="420"/>
    </w:pPr>
  </w:style>
  <w:style w:type="paragraph" w:styleId="90">
    <w:name w:val="toc 9"/>
    <w:basedOn w:val="a"/>
    <w:next w:val="a"/>
    <w:qFormat/>
    <w:pPr>
      <w:ind w:left="3360"/>
    </w:pPr>
  </w:style>
  <w:style w:type="paragraph" w:styleId="21">
    <w:name w:val="Body Text 2"/>
    <w:basedOn w:val="a"/>
    <w:link w:val="2Char"/>
    <w:uiPriority w:val="99"/>
    <w:unhideWhenUsed/>
    <w:qFormat/>
    <w:pPr>
      <w:widowControl w:val="0"/>
      <w:spacing w:after="120" w:line="480" w:lineRule="auto"/>
      <w:jc w:val="both"/>
    </w:pPr>
    <w:rPr>
      <w:kern w:val="2"/>
      <w:sz w:val="21"/>
      <w:szCs w:val="24"/>
    </w:rPr>
  </w:style>
  <w:style w:type="paragraph" w:styleId="af">
    <w:name w:val="Normal (Web)"/>
    <w:basedOn w:val="a"/>
    <w:qFormat/>
    <w:pPr>
      <w:spacing w:before="100" w:beforeAutospacing="1" w:after="100" w:afterAutospacing="1"/>
    </w:pPr>
    <w:rPr>
      <w:sz w:val="24"/>
    </w:rPr>
  </w:style>
  <w:style w:type="paragraph" w:styleId="12">
    <w:name w:val="index 1"/>
    <w:basedOn w:val="a"/>
    <w:next w:val="a"/>
    <w:qFormat/>
  </w:style>
  <w:style w:type="paragraph" w:styleId="af0">
    <w:name w:val="Title"/>
    <w:link w:val="Char2"/>
    <w:uiPriority w:val="10"/>
    <w:qFormat/>
    <w:pPr>
      <w:spacing w:before="300" w:after="200"/>
      <w:contextualSpacing/>
    </w:pPr>
    <w:rPr>
      <w:sz w:val="48"/>
      <w:szCs w:val="48"/>
    </w:rPr>
  </w:style>
  <w:style w:type="paragraph" w:styleId="af1">
    <w:name w:val="annotation subject"/>
    <w:basedOn w:val="a3"/>
    <w:next w:val="a3"/>
    <w:qFormat/>
    <w:rPr>
      <w:b/>
      <w:bCs/>
    </w:rPr>
  </w:style>
  <w:style w:type="paragraph" w:styleId="af2">
    <w:name w:val="Body Text First Indent"/>
    <w:basedOn w:val="a4"/>
    <w:next w:val="22"/>
    <w:qFormat/>
    <w:pPr>
      <w:spacing w:line="240" w:lineRule="atLeast"/>
      <w:ind w:firstLine="976"/>
      <w:jc w:val="center"/>
    </w:pPr>
    <w:rPr>
      <w:rFonts w:eastAsia="彩虹黑体"/>
      <w:color w:val="FF0000"/>
      <w:spacing w:val="-20"/>
      <w:w w:val="90"/>
      <w:sz w:val="28"/>
    </w:rPr>
  </w:style>
  <w:style w:type="paragraph" w:styleId="22">
    <w:name w:val="Body Text First Indent 2"/>
    <w:basedOn w:val="a5"/>
    <w:qFormat/>
    <w:pPr>
      <w:ind w:firstLine="420"/>
    </w:pPr>
  </w:style>
  <w:style w:type="table" w:styleId="af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styleId="af4">
    <w:name w:val="Strong"/>
    <w:qFormat/>
    <w:rPr>
      <w:b/>
      <w:sz w:val="20"/>
      <w:szCs w:val="20"/>
    </w:rPr>
  </w:style>
  <w:style w:type="character" w:styleId="af5">
    <w:name w:val="endnote reference"/>
    <w:uiPriority w:val="99"/>
    <w:semiHidden/>
    <w:unhideWhenUsed/>
    <w:qFormat/>
    <w:rPr>
      <w:vertAlign w:val="superscript"/>
    </w:rPr>
  </w:style>
  <w:style w:type="character" w:styleId="af6">
    <w:name w:val="page number"/>
    <w:qFormat/>
  </w:style>
  <w:style w:type="character" w:styleId="af7">
    <w:name w:val="FollowedHyperlink"/>
    <w:qFormat/>
    <w:rPr>
      <w:color w:val="800080"/>
      <w:sz w:val="20"/>
      <w:szCs w:val="20"/>
      <w:u w:val="single"/>
    </w:rPr>
  </w:style>
  <w:style w:type="character" w:styleId="af8">
    <w:name w:val="Hyperlink"/>
    <w:qFormat/>
    <w:rPr>
      <w:color w:val="0000FF"/>
      <w:sz w:val="20"/>
      <w:szCs w:val="20"/>
      <w:u w:val="single"/>
    </w:rPr>
  </w:style>
  <w:style w:type="character" w:styleId="af9">
    <w:name w:val="annotation reference"/>
    <w:qFormat/>
    <w:rPr>
      <w:sz w:val="21"/>
      <w:szCs w:val="21"/>
    </w:rPr>
  </w:style>
  <w:style w:type="character" w:styleId="afa">
    <w:name w:val="footnote reference"/>
    <w:uiPriority w:val="99"/>
    <w:unhideWhenUsed/>
    <w:qFormat/>
    <w:rPr>
      <w:vertAlign w:val="superscript"/>
    </w:rPr>
  </w:style>
  <w:style w:type="paragraph" w:customStyle="1" w:styleId="Heading21">
    <w:name w:val="Heading 21"/>
    <w:basedOn w:val="a"/>
    <w:next w:val="a"/>
    <w:qFormat/>
    <w:pPr>
      <w:spacing w:line="360" w:lineRule="auto"/>
      <w:jc w:val="center"/>
      <w:outlineLvl w:val="1"/>
    </w:pPr>
    <w:rPr>
      <w:rFonts w:ascii="宋体" w:hAnsi="宋体"/>
      <w:b/>
      <w:sz w:val="28"/>
      <w:szCs w:val="28"/>
    </w:rPr>
  </w:style>
  <w:style w:type="paragraph" w:customStyle="1" w:styleId="110">
    <w:name w:val="标题 11"/>
    <w:link w:val="Heading1Char"/>
    <w:uiPriority w:val="9"/>
    <w:qFormat/>
    <w:pPr>
      <w:keepNext/>
      <w:keepLines/>
      <w:spacing w:before="480" w:after="200"/>
      <w:outlineLvl w:val="0"/>
    </w:pPr>
    <w:rPr>
      <w:rFonts w:ascii="Arial" w:hAnsi="Arial"/>
      <w:sz w:val="40"/>
      <w:szCs w:val="40"/>
    </w:rPr>
  </w:style>
  <w:style w:type="character" w:customStyle="1" w:styleId="Heading1Char">
    <w:name w:val="Heading 1 Char"/>
    <w:link w:val="110"/>
    <w:uiPriority w:val="9"/>
    <w:qFormat/>
    <w:rPr>
      <w:rFonts w:ascii="Arial" w:hAnsi="Arial"/>
      <w:sz w:val="40"/>
      <w:szCs w:val="40"/>
      <w:lang w:bidi="ar-SA"/>
    </w:rPr>
  </w:style>
  <w:style w:type="character" w:customStyle="1" w:styleId="Heading2Char">
    <w:name w:val="Heading 2 Char"/>
    <w:link w:val="210"/>
    <w:uiPriority w:val="9"/>
    <w:qFormat/>
    <w:rPr>
      <w:rFonts w:ascii="Arial" w:hAnsi="Arial" w:cs="Arial"/>
      <w:sz w:val="34"/>
    </w:rPr>
  </w:style>
  <w:style w:type="paragraph" w:customStyle="1" w:styleId="210">
    <w:name w:val="标题 21"/>
    <w:basedOn w:val="a"/>
    <w:next w:val="a"/>
    <w:link w:val="Heading2Char"/>
    <w:uiPriority w:val="9"/>
    <w:qFormat/>
    <w:pPr>
      <w:spacing w:line="360" w:lineRule="auto"/>
      <w:jc w:val="center"/>
      <w:outlineLvl w:val="1"/>
    </w:pPr>
    <w:rPr>
      <w:rFonts w:ascii="Arial" w:hAnsi="Arial"/>
      <w:sz w:val="34"/>
    </w:rPr>
  </w:style>
  <w:style w:type="paragraph" w:customStyle="1" w:styleId="31">
    <w:name w:val="标题 31"/>
    <w:link w:val="Heading3Char"/>
    <w:uiPriority w:val="9"/>
    <w:unhideWhenUsed/>
    <w:qFormat/>
    <w:pPr>
      <w:keepNext/>
      <w:keepLines/>
      <w:spacing w:before="320" w:after="200"/>
      <w:outlineLvl w:val="2"/>
    </w:pPr>
    <w:rPr>
      <w:rFonts w:ascii="Arial" w:hAnsi="Arial"/>
      <w:sz w:val="30"/>
      <w:szCs w:val="30"/>
    </w:rPr>
  </w:style>
  <w:style w:type="character" w:customStyle="1" w:styleId="Heading3Char">
    <w:name w:val="Heading 3 Char"/>
    <w:link w:val="31"/>
    <w:uiPriority w:val="9"/>
    <w:qFormat/>
    <w:rPr>
      <w:rFonts w:ascii="Arial" w:hAnsi="Arial"/>
      <w:sz w:val="30"/>
      <w:szCs w:val="30"/>
      <w:lang w:bidi="ar-SA"/>
    </w:rPr>
  </w:style>
  <w:style w:type="paragraph" w:customStyle="1" w:styleId="41">
    <w:name w:val="标题 41"/>
    <w:link w:val="Heading4Char"/>
    <w:uiPriority w:val="9"/>
    <w:unhideWhenUsed/>
    <w:qFormat/>
    <w:pPr>
      <w:keepNext/>
      <w:keepLines/>
      <w:spacing w:before="320" w:after="200"/>
      <w:outlineLvl w:val="3"/>
    </w:pPr>
    <w:rPr>
      <w:rFonts w:ascii="Arial" w:hAnsi="Arial"/>
      <w:b/>
      <w:bCs/>
      <w:sz w:val="26"/>
      <w:szCs w:val="26"/>
    </w:rPr>
  </w:style>
  <w:style w:type="character" w:customStyle="1" w:styleId="Heading4Char">
    <w:name w:val="Heading 4 Char"/>
    <w:link w:val="41"/>
    <w:uiPriority w:val="9"/>
    <w:qFormat/>
    <w:rPr>
      <w:rFonts w:ascii="Arial" w:hAnsi="Arial"/>
      <w:b/>
      <w:bCs/>
      <w:sz w:val="26"/>
      <w:szCs w:val="26"/>
      <w:lang w:bidi="ar-SA"/>
    </w:rPr>
  </w:style>
  <w:style w:type="paragraph" w:customStyle="1" w:styleId="51">
    <w:name w:val="标题 51"/>
    <w:link w:val="Heading5Char"/>
    <w:uiPriority w:val="9"/>
    <w:unhideWhenUsed/>
    <w:qFormat/>
    <w:pPr>
      <w:keepNext/>
      <w:keepLines/>
      <w:spacing w:before="320" w:after="200"/>
      <w:outlineLvl w:val="4"/>
    </w:pPr>
    <w:rPr>
      <w:rFonts w:ascii="Arial" w:hAnsi="Arial"/>
      <w:b/>
      <w:bCs/>
      <w:sz w:val="24"/>
      <w:szCs w:val="24"/>
    </w:rPr>
  </w:style>
  <w:style w:type="character" w:customStyle="1" w:styleId="Heading5Char">
    <w:name w:val="Heading 5 Char"/>
    <w:link w:val="51"/>
    <w:uiPriority w:val="9"/>
    <w:qFormat/>
    <w:rPr>
      <w:rFonts w:ascii="Arial" w:hAnsi="Arial"/>
      <w:b/>
      <w:bCs/>
      <w:sz w:val="24"/>
      <w:szCs w:val="24"/>
      <w:lang w:bidi="ar-SA"/>
    </w:rPr>
  </w:style>
  <w:style w:type="paragraph" w:customStyle="1" w:styleId="61">
    <w:name w:val="标题 61"/>
    <w:link w:val="Heading6Char"/>
    <w:uiPriority w:val="9"/>
    <w:unhideWhenUsed/>
    <w:qFormat/>
    <w:pPr>
      <w:keepNext/>
      <w:keepLines/>
      <w:spacing w:before="320" w:after="200"/>
      <w:outlineLvl w:val="5"/>
    </w:pPr>
    <w:rPr>
      <w:rFonts w:ascii="Arial" w:hAnsi="Arial"/>
      <w:b/>
      <w:bCs/>
      <w:sz w:val="22"/>
      <w:szCs w:val="22"/>
    </w:rPr>
  </w:style>
  <w:style w:type="character" w:customStyle="1" w:styleId="Heading6Char">
    <w:name w:val="Heading 6 Char"/>
    <w:link w:val="61"/>
    <w:uiPriority w:val="9"/>
    <w:qFormat/>
    <w:rPr>
      <w:rFonts w:ascii="Arial" w:hAnsi="Arial"/>
      <w:b/>
      <w:bCs/>
      <w:sz w:val="22"/>
      <w:szCs w:val="22"/>
      <w:lang w:bidi="ar-SA"/>
    </w:rPr>
  </w:style>
  <w:style w:type="paragraph" w:customStyle="1" w:styleId="71">
    <w:name w:val="标题 71"/>
    <w:link w:val="Heading7Char"/>
    <w:uiPriority w:val="9"/>
    <w:unhideWhenUsed/>
    <w:qFormat/>
    <w:pPr>
      <w:keepNext/>
      <w:keepLines/>
      <w:spacing w:before="320" w:after="200"/>
      <w:outlineLvl w:val="6"/>
    </w:pPr>
    <w:rPr>
      <w:rFonts w:ascii="Arial" w:hAnsi="Arial"/>
      <w:b/>
      <w:bCs/>
      <w:i/>
      <w:iCs/>
      <w:sz w:val="22"/>
      <w:szCs w:val="22"/>
    </w:rPr>
  </w:style>
  <w:style w:type="character" w:customStyle="1" w:styleId="Heading7Char">
    <w:name w:val="Heading 7 Char"/>
    <w:link w:val="71"/>
    <w:uiPriority w:val="9"/>
    <w:qFormat/>
    <w:rPr>
      <w:rFonts w:ascii="Arial" w:hAnsi="Arial"/>
      <w:b/>
      <w:bCs/>
      <w:i/>
      <w:iCs/>
      <w:sz w:val="22"/>
      <w:szCs w:val="22"/>
      <w:lang w:bidi="ar-SA"/>
    </w:rPr>
  </w:style>
  <w:style w:type="paragraph" w:customStyle="1" w:styleId="81">
    <w:name w:val="标题 81"/>
    <w:link w:val="Heading8Char"/>
    <w:uiPriority w:val="9"/>
    <w:unhideWhenUsed/>
    <w:qFormat/>
    <w:pPr>
      <w:keepNext/>
      <w:keepLines/>
      <w:spacing w:before="320" w:after="200"/>
      <w:outlineLvl w:val="7"/>
    </w:pPr>
    <w:rPr>
      <w:rFonts w:ascii="Arial" w:hAnsi="Arial"/>
      <w:i/>
      <w:iCs/>
      <w:sz w:val="22"/>
      <w:szCs w:val="22"/>
    </w:rPr>
  </w:style>
  <w:style w:type="character" w:customStyle="1" w:styleId="Heading8Char">
    <w:name w:val="Heading 8 Char"/>
    <w:link w:val="81"/>
    <w:uiPriority w:val="9"/>
    <w:qFormat/>
    <w:rPr>
      <w:rFonts w:ascii="Arial" w:hAnsi="Arial"/>
      <w:i/>
      <w:iCs/>
      <w:sz w:val="22"/>
      <w:szCs w:val="22"/>
      <w:lang w:bidi="ar-SA"/>
    </w:rPr>
  </w:style>
  <w:style w:type="paragraph" w:customStyle="1" w:styleId="91">
    <w:name w:val="标题 91"/>
    <w:link w:val="Heading9Char"/>
    <w:uiPriority w:val="9"/>
    <w:unhideWhenUsed/>
    <w:qFormat/>
    <w:pPr>
      <w:keepNext/>
      <w:keepLines/>
      <w:spacing w:before="320" w:after="200"/>
      <w:outlineLvl w:val="8"/>
    </w:pPr>
    <w:rPr>
      <w:rFonts w:ascii="Arial" w:hAnsi="Arial"/>
      <w:i/>
      <w:iCs/>
      <w:sz w:val="21"/>
      <w:szCs w:val="21"/>
    </w:rPr>
  </w:style>
  <w:style w:type="character" w:customStyle="1" w:styleId="Heading9Char">
    <w:name w:val="Heading 9 Char"/>
    <w:link w:val="91"/>
    <w:uiPriority w:val="9"/>
    <w:qFormat/>
    <w:rPr>
      <w:rFonts w:ascii="Arial" w:hAnsi="Arial"/>
      <w:i/>
      <w:iCs/>
      <w:sz w:val="21"/>
      <w:szCs w:val="21"/>
      <w:lang w:bidi="ar-SA"/>
    </w:rPr>
  </w:style>
  <w:style w:type="paragraph" w:styleId="afb">
    <w:name w:val="No Spacing"/>
    <w:uiPriority w:val="1"/>
    <w:qFormat/>
  </w:style>
  <w:style w:type="character" w:customStyle="1" w:styleId="Char2">
    <w:name w:val="标题 Char"/>
    <w:link w:val="af0"/>
    <w:uiPriority w:val="10"/>
    <w:qFormat/>
    <w:rPr>
      <w:sz w:val="48"/>
      <w:szCs w:val="48"/>
      <w:lang w:bidi="ar-SA"/>
    </w:rPr>
  </w:style>
  <w:style w:type="character" w:customStyle="1" w:styleId="Char0">
    <w:name w:val="副标题 Char"/>
    <w:link w:val="ac"/>
    <w:uiPriority w:val="11"/>
    <w:qFormat/>
    <w:rPr>
      <w:sz w:val="24"/>
      <w:szCs w:val="24"/>
      <w:lang w:bidi="ar-SA"/>
    </w:rPr>
  </w:style>
  <w:style w:type="paragraph" w:styleId="afc">
    <w:name w:val="Quote"/>
    <w:link w:val="Char3"/>
    <w:uiPriority w:val="29"/>
    <w:qFormat/>
    <w:pPr>
      <w:ind w:left="720" w:right="720"/>
    </w:pPr>
    <w:rPr>
      <w:i/>
    </w:rPr>
  </w:style>
  <w:style w:type="character" w:customStyle="1" w:styleId="Char3">
    <w:name w:val="引用 Char"/>
    <w:link w:val="afc"/>
    <w:uiPriority w:val="29"/>
    <w:qFormat/>
    <w:rPr>
      <w:i/>
      <w:lang w:val="en-US" w:eastAsia="zh-CN" w:bidi="ar-SA"/>
    </w:rPr>
  </w:style>
  <w:style w:type="paragraph" w:styleId="afd">
    <w:name w:val="Intense Quote"/>
    <w:link w:val="Char4"/>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Char4">
    <w:name w:val="明显引用 Char"/>
    <w:link w:val="afd"/>
    <w:uiPriority w:val="30"/>
    <w:qFormat/>
    <w:rPr>
      <w:i/>
      <w:shd w:val="clear" w:color="F2F2F2" w:fill="F2F2F2"/>
      <w:lang w:val="en-US" w:eastAsia="zh-CN" w:bidi="ar-SA"/>
    </w:rPr>
  </w:style>
  <w:style w:type="paragraph" w:customStyle="1" w:styleId="13">
    <w:name w:val="页眉1"/>
    <w:link w:val="HeaderChar"/>
    <w:uiPriority w:val="99"/>
    <w:unhideWhenUsed/>
    <w:qFormat/>
    <w:pPr>
      <w:tabs>
        <w:tab w:val="center" w:pos="7143"/>
        <w:tab w:val="right" w:pos="14287"/>
      </w:tabs>
    </w:pPr>
  </w:style>
  <w:style w:type="character" w:customStyle="1" w:styleId="HeaderChar">
    <w:name w:val="Header Char"/>
    <w:link w:val="13"/>
    <w:uiPriority w:val="99"/>
    <w:qFormat/>
    <w:rPr>
      <w:lang w:val="en-US" w:eastAsia="zh-CN" w:bidi="ar-SA"/>
    </w:rPr>
  </w:style>
  <w:style w:type="paragraph" w:customStyle="1" w:styleId="14">
    <w:name w:val="页脚1"/>
    <w:link w:val="CaptionChar"/>
    <w:uiPriority w:val="99"/>
    <w:unhideWhenUsed/>
    <w:qFormat/>
    <w:pPr>
      <w:tabs>
        <w:tab w:val="center" w:pos="7143"/>
        <w:tab w:val="right" w:pos="14287"/>
      </w:tabs>
    </w:pPr>
  </w:style>
  <w:style w:type="character" w:customStyle="1" w:styleId="FooterChar">
    <w:name w:val="Footer Char"/>
    <w:uiPriority w:val="99"/>
    <w:qFormat/>
  </w:style>
  <w:style w:type="paragraph" w:customStyle="1" w:styleId="15">
    <w:name w:val="题注1"/>
    <w:uiPriority w:val="35"/>
    <w:semiHidden/>
    <w:unhideWhenUsed/>
    <w:qFormat/>
    <w:pPr>
      <w:spacing w:line="276" w:lineRule="auto"/>
    </w:pPr>
    <w:rPr>
      <w:b/>
      <w:bCs/>
      <w:color w:val="4F81BD"/>
      <w:sz w:val="18"/>
      <w:szCs w:val="18"/>
    </w:rPr>
  </w:style>
  <w:style w:type="character" w:customStyle="1" w:styleId="CaptionChar">
    <w:name w:val="Caption Char"/>
    <w:link w:val="14"/>
    <w:uiPriority w:val="99"/>
    <w:qFormat/>
    <w:rPr>
      <w:lang w:val="en-US" w:eastAsia="zh-CN" w:bidi="ar-SA"/>
    </w:rPr>
  </w:style>
  <w:style w:type="table" w:customStyle="1" w:styleId="TableGridLight">
    <w:name w:val="Table Grid Light"/>
    <w:uiPriority w:val="59"/>
    <w:qFormat/>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uiPriority w:val="59"/>
    <w:qFormat/>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2">
    <w:name w:val="Plain Table 2"/>
    <w:uiPriority w:val="59"/>
    <w:qFormat/>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PlainTable3">
    <w:name w:val="Plain Table 3"/>
    <w:uiPriority w:val="99"/>
    <w:qFormat/>
    <w:tblPr>
      <w:tblCellMar>
        <w:top w:w="0" w:type="dxa"/>
        <w:left w:w="0" w:type="dxa"/>
        <w:bottom w:w="0" w:type="dxa"/>
        <w:right w:w="0" w:type="dxa"/>
      </w:tblCellMar>
    </w:tblPr>
  </w:style>
  <w:style w:type="table" w:customStyle="1" w:styleId="PlainTable4">
    <w:name w:val="Plain Table 4"/>
    <w:uiPriority w:val="99"/>
    <w:qFormat/>
    <w:tblPr>
      <w:tblCellMar>
        <w:top w:w="0" w:type="dxa"/>
        <w:left w:w="0" w:type="dxa"/>
        <w:bottom w:w="0" w:type="dxa"/>
        <w:right w:w="0" w:type="dxa"/>
      </w:tblCellMar>
    </w:tblPr>
  </w:style>
  <w:style w:type="table" w:customStyle="1" w:styleId="PlainTable5">
    <w:name w:val="Plain Table 5"/>
    <w:uiPriority w:val="99"/>
    <w:qFormat/>
    <w:tblPr>
      <w:tblCellMar>
        <w:top w:w="0" w:type="dxa"/>
        <w:left w:w="0" w:type="dxa"/>
        <w:bottom w:w="0" w:type="dxa"/>
        <w:right w:w="0" w:type="dxa"/>
      </w:tblCellMar>
    </w:tblPr>
  </w:style>
  <w:style w:type="table" w:customStyle="1" w:styleId="GridTable1Light">
    <w:name w:val="Grid Table 1 Light"/>
    <w:uiPriority w:val="99"/>
    <w:qFormat/>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qFormat/>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qFormat/>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qFormat/>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qFormat/>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qFormat/>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qFormat/>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GridTable2">
    <w:name w:val="Grid Table 2"/>
    <w:uiPriority w:val="99"/>
    <w:qFormat/>
    <w:tblPr>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qFormat/>
    <w:tblPr>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qFormat/>
    <w:tblPr>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qFormat/>
    <w:tblPr>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qFormat/>
    <w:tblPr>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qFormat/>
    <w:tblPr>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qFormat/>
    <w:tblPr>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3">
    <w:name w:val="Grid Table 3"/>
    <w:uiPriority w:val="99"/>
    <w:qFormat/>
    <w:tblPr>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qFormat/>
    <w:tblPr>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qFormat/>
    <w:tblPr>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qFormat/>
    <w:tblPr>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qFormat/>
    <w:tblPr>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qFormat/>
    <w:tblPr>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qFormat/>
    <w:tblPr>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4">
    <w:name w:val="Grid Table 4"/>
    <w:uiPriority w:val="59"/>
    <w:qFormat/>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qFormat/>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qFormat/>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qFormat/>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qFormat/>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qFormat/>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qFormat/>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GridTable5Dark">
    <w:name w:val="Grid Table 5 Dark"/>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
    <w:name w:val="Grid Table 5 Dark- Accent 1"/>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
    <w:name w:val="Grid Table 5 Dark - Accent 2"/>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
    <w:name w:val="Grid Table 5 Dark - Accent 3"/>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
    <w:name w:val="Grid Table 5 Dark- Accent 4"/>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
    <w:name w:val="Grid Table 5 Dark - Accent 5"/>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
    <w:name w:val="Grid Table 5 Dark - Accent 6"/>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6Colorful">
    <w:name w:val="Grid Table 6 Colorful"/>
    <w:uiPriority w:val="99"/>
    <w:qFormat/>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qFormat/>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qFormat/>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qFormat/>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qFormat/>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qFormat/>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qFormat/>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7Colorful">
    <w:name w:val="Grid Table 7 Colorful"/>
    <w:uiPriority w:val="99"/>
    <w:qFormat/>
    <w:tblPr>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qFormat/>
    <w:tblPr>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qFormat/>
    <w:tblPr>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qFormat/>
    <w:tblPr>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qFormat/>
    <w:tblPr>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qFormat/>
    <w:tblPr>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qFormat/>
    <w:tblPr>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ListTable1Light">
    <w:name w:val="List Table 1 Light"/>
    <w:uiPriority w:val="99"/>
    <w:qFormat/>
    <w:tblPr>
      <w:tblCellMar>
        <w:top w:w="0" w:type="dxa"/>
        <w:left w:w="0" w:type="dxa"/>
        <w:bottom w:w="0" w:type="dxa"/>
        <w:right w:w="0" w:type="dxa"/>
      </w:tblCellMar>
    </w:tblPr>
  </w:style>
  <w:style w:type="table" w:customStyle="1" w:styleId="ListTable1Light-Accent1">
    <w:name w:val="List Table 1 Light - Accent 1"/>
    <w:uiPriority w:val="99"/>
    <w:qFormat/>
    <w:tblPr>
      <w:tblCellMar>
        <w:top w:w="0" w:type="dxa"/>
        <w:left w:w="0" w:type="dxa"/>
        <w:bottom w:w="0" w:type="dxa"/>
        <w:right w:w="0" w:type="dxa"/>
      </w:tblCellMar>
    </w:tblPr>
  </w:style>
  <w:style w:type="table" w:customStyle="1" w:styleId="ListTable1Light-Accent2">
    <w:name w:val="List Table 1 Light - Accent 2"/>
    <w:uiPriority w:val="99"/>
    <w:qFormat/>
    <w:tblPr>
      <w:tblCellMar>
        <w:top w:w="0" w:type="dxa"/>
        <w:left w:w="0" w:type="dxa"/>
        <w:bottom w:w="0" w:type="dxa"/>
        <w:right w:w="0" w:type="dxa"/>
      </w:tblCellMar>
    </w:tblPr>
  </w:style>
  <w:style w:type="table" w:customStyle="1" w:styleId="ListTable1Light-Accent3">
    <w:name w:val="List Table 1 Light - Accent 3"/>
    <w:uiPriority w:val="99"/>
    <w:qFormat/>
    <w:tblPr>
      <w:tblCellMar>
        <w:top w:w="0" w:type="dxa"/>
        <w:left w:w="0" w:type="dxa"/>
        <w:bottom w:w="0" w:type="dxa"/>
        <w:right w:w="0" w:type="dxa"/>
      </w:tblCellMar>
    </w:tblPr>
  </w:style>
  <w:style w:type="table" w:customStyle="1" w:styleId="ListTable1Light-Accent4">
    <w:name w:val="List Table 1 Light - Accent 4"/>
    <w:uiPriority w:val="99"/>
    <w:qFormat/>
    <w:tblPr>
      <w:tblCellMar>
        <w:top w:w="0" w:type="dxa"/>
        <w:left w:w="0" w:type="dxa"/>
        <w:bottom w:w="0" w:type="dxa"/>
        <w:right w:w="0" w:type="dxa"/>
      </w:tblCellMar>
    </w:tblPr>
  </w:style>
  <w:style w:type="table" w:customStyle="1" w:styleId="ListTable1Light-Accent5">
    <w:name w:val="List Table 1 Light - Accent 5"/>
    <w:uiPriority w:val="99"/>
    <w:qFormat/>
    <w:tblPr>
      <w:tblCellMar>
        <w:top w:w="0" w:type="dxa"/>
        <w:left w:w="0" w:type="dxa"/>
        <w:bottom w:w="0" w:type="dxa"/>
        <w:right w:w="0" w:type="dxa"/>
      </w:tblCellMar>
    </w:tblPr>
  </w:style>
  <w:style w:type="table" w:customStyle="1" w:styleId="ListTable1Light-Accent6">
    <w:name w:val="List Table 1 Light - Accent 6"/>
    <w:uiPriority w:val="99"/>
    <w:qFormat/>
    <w:tblPr>
      <w:tblCellMar>
        <w:top w:w="0" w:type="dxa"/>
        <w:left w:w="0" w:type="dxa"/>
        <w:bottom w:w="0" w:type="dxa"/>
        <w:right w:w="0" w:type="dxa"/>
      </w:tblCellMar>
    </w:tblPr>
  </w:style>
  <w:style w:type="table" w:customStyle="1" w:styleId="ListTable2">
    <w:name w:val="List Table 2"/>
    <w:uiPriority w:val="99"/>
    <w:qFormat/>
    <w:tblPr>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qFormat/>
    <w:tblPr>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qFormat/>
    <w:tblPr>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qFormat/>
    <w:tblPr>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qFormat/>
    <w:tblPr>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qFormat/>
    <w:tblPr>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qFormat/>
    <w:tblPr>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ListTable3">
    <w:name w:val="List Table 3"/>
    <w:uiPriority w:val="99"/>
    <w:qFormat/>
    <w:tblPr>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qFormat/>
    <w:tblPr>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qFormat/>
    <w:tblPr>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qFormat/>
    <w:tblPr>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qFormat/>
    <w:tblPr>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qFormat/>
    <w:tblPr>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qFormat/>
    <w:tblPr>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ListTable4">
    <w:name w:val="List Table 4"/>
    <w:uiPriority w:val="99"/>
    <w:qFormat/>
    <w:tblPr>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qFormat/>
    <w:tblPr>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qFormat/>
    <w:tblPr>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qFormat/>
    <w:tblPr>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qFormat/>
    <w:tblPr>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qFormat/>
    <w:tblPr>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qFormat/>
    <w:tblPr>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ListTable5Dark">
    <w:name w:val="List Table 5 Dark"/>
    <w:uiPriority w:val="99"/>
    <w:qFormat/>
    <w:tblPr>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
    <w:name w:val="List Table 5 Dark - Accent 1"/>
    <w:uiPriority w:val="99"/>
    <w:qFormat/>
    <w:tblPr>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
    <w:name w:val="List Table 5 Dark - Accent 2"/>
    <w:uiPriority w:val="99"/>
    <w:qFormat/>
    <w:tblPr>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
    <w:name w:val="List Table 5 Dark - Accent 3"/>
    <w:uiPriority w:val="99"/>
    <w:qFormat/>
    <w:tblPr>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
    <w:name w:val="List Table 5 Dark - Accent 4"/>
    <w:uiPriority w:val="99"/>
    <w:qFormat/>
    <w:tblPr>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
    <w:name w:val="List Table 5 Dark - Accent 5"/>
    <w:uiPriority w:val="99"/>
    <w:qFormat/>
    <w:tblPr>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
    <w:name w:val="List Table 5 Dark - Accent 6"/>
    <w:uiPriority w:val="99"/>
    <w:qFormat/>
    <w:tblPr>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ListTable6Colorful">
    <w:name w:val="List Table 6 Colorful"/>
    <w:uiPriority w:val="99"/>
    <w:qFormat/>
    <w:tblPr>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qFormat/>
    <w:tblPr>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qFormat/>
    <w:tblPr>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qFormat/>
    <w:tblPr>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qFormat/>
    <w:tblPr>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qFormat/>
    <w:tblPr>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qFormat/>
    <w:tblPr>
      <w:tblBorders>
        <w:top w:val="single" w:sz="4" w:space="0" w:color="FAC090"/>
        <w:bottom w:val="single" w:sz="4" w:space="0" w:color="FAC090"/>
      </w:tblBorders>
      <w:tblCellMar>
        <w:top w:w="0" w:type="dxa"/>
        <w:left w:w="0" w:type="dxa"/>
        <w:bottom w:w="0" w:type="dxa"/>
        <w:right w:w="0" w:type="dxa"/>
      </w:tblCellMar>
    </w:tblPr>
  </w:style>
  <w:style w:type="table" w:customStyle="1" w:styleId="ListTable7Colorful">
    <w:name w:val="List Table 7 Colorful"/>
    <w:uiPriority w:val="99"/>
    <w:qFormat/>
    <w:tblPr>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qFormat/>
    <w:tblPr>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qFormat/>
    <w:tblPr>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qFormat/>
    <w:tblPr>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qFormat/>
    <w:tblPr>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qFormat/>
    <w:tblPr>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qFormat/>
    <w:tblPr>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qFormat/>
    <w:rPr>
      <w:color w:val="404040"/>
    </w:rPr>
    <w:tblPr>
      <w:tblCellMar>
        <w:top w:w="0" w:type="dxa"/>
        <w:left w:w="0" w:type="dxa"/>
        <w:bottom w:w="0" w:type="dxa"/>
        <w:right w:w="0" w:type="dxa"/>
      </w:tblCellMar>
    </w:tblPr>
  </w:style>
  <w:style w:type="table" w:customStyle="1" w:styleId="Lined-Accent1">
    <w:name w:val="Lined - Accent 1"/>
    <w:uiPriority w:val="99"/>
    <w:qFormat/>
    <w:rPr>
      <w:color w:val="404040"/>
    </w:rPr>
    <w:tblPr>
      <w:tblCellMar>
        <w:top w:w="0" w:type="dxa"/>
        <w:left w:w="0" w:type="dxa"/>
        <w:bottom w:w="0" w:type="dxa"/>
        <w:right w:w="0" w:type="dxa"/>
      </w:tblCellMar>
    </w:tblPr>
  </w:style>
  <w:style w:type="table" w:customStyle="1" w:styleId="Lined-Accent2">
    <w:name w:val="Lined - Accent 2"/>
    <w:uiPriority w:val="99"/>
    <w:qFormat/>
    <w:rPr>
      <w:color w:val="404040"/>
    </w:rPr>
    <w:tblPr>
      <w:tblCellMar>
        <w:top w:w="0" w:type="dxa"/>
        <w:left w:w="0" w:type="dxa"/>
        <w:bottom w:w="0" w:type="dxa"/>
        <w:right w:w="0" w:type="dxa"/>
      </w:tblCellMar>
    </w:tblPr>
  </w:style>
  <w:style w:type="table" w:customStyle="1" w:styleId="Lined-Accent3">
    <w:name w:val="Lined - Accent 3"/>
    <w:uiPriority w:val="99"/>
    <w:qFormat/>
    <w:rPr>
      <w:color w:val="404040"/>
    </w:rPr>
    <w:tblPr>
      <w:tblCellMar>
        <w:top w:w="0" w:type="dxa"/>
        <w:left w:w="0" w:type="dxa"/>
        <w:bottom w:w="0" w:type="dxa"/>
        <w:right w:w="0" w:type="dxa"/>
      </w:tblCellMar>
    </w:tblPr>
  </w:style>
  <w:style w:type="table" w:customStyle="1" w:styleId="Lined-Accent4">
    <w:name w:val="Lined - Accent 4"/>
    <w:uiPriority w:val="99"/>
    <w:qFormat/>
    <w:rPr>
      <w:color w:val="404040"/>
    </w:rPr>
    <w:tblPr>
      <w:tblCellMar>
        <w:top w:w="0" w:type="dxa"/>
        <w:left w:w="0" w:type="dxa"/>
        <w:bottom w:w="0" w:type="dxa"/>
        <w:right w:w="0" w:type="dxa"/>
      </w:tblCellMar>
    </w:tblPr>
  </w:style>
  <w:style w:type="table" w:customStyle="1" w:styleId="Lined-Accent5">
    <w:name w:val="Lined - Accent 5"/>
    <w:uiPriority w:val="99"/>
    <w:qFormat/>
    <w:rPr>
      <w:color w:val="404040"/>
    </w:rPr>
    <w:tblPr>
      <w:tblCellMar>
        <w:top w:w="0" w:type="dxa"/>
        <w:left w:w="0" w:type="dxa"/>
        <w:bottom w:w="0" w:type="dxa"/>
        <w:right w:w="0" w:type="dxa"/>
      </w:tblCellMar>
    </w:tblPr>
  </w:style>
  <w:style w:type="table" w:customStyle="1" w:styleId="Lined-Accent6">
    <w:name w:val="Lined - Accent 6"/>
    <w:uiPriority w:val="99"/>
    <w:qFormat/>
    <w:rPr>
      <w:color w:val="404040"/>
    </w:rPr>
    <w:tblPr>
      <w:tblCellMar>
        <w:top w:w="0" w:type="dxa"/>
        <w:left w:w="0" w:type="dxa"/>
        <w:bottom w:w="0" w:type="dxa"/>
        <w:right w:w="0" w:type="dxa"/>
      </w:tblCellMar>
    </w:tblPr>
  </w:style>
  <w:style w:type="table" w:customStyle="1" w:styleId="BorderedLined-Accent">
    <w:name w:val="Bordered &amp; Lined - Accent"/>
    <w:uiPriority w:val="99"/>
    <w:qFormat/>
    <w:rPr>
      <w:color w:val="404040"/>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qFormat/>
    <w:rPr>
      <w:color w:val="404040"/>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qFormat/>
    <w:rPr>
      <w:color w:val="404040"/>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qFormat/>
    <w:rPr>
      <w:color w:val="404040"/>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qFormat/>
    <w:rPr>
      <w:color w:val="404040"/>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qFormat/>
    <w:rPr>
      <w:color w:val="404040"/>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qFormat/>
    <w:rPr>
      <w:color w:val="404040"/>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qFormat/>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qFormat/>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qFormat/>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qFormat/>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qFormat/>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qFormat/>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qFormat/>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customStyle="1" w:styleId="FootnoteTextChar">
    <w:name w:val="Footnote Text Char"/>
    <w:uiPriority w:val="99"/>
    <w:qFormat/>
    <w:rPr>
      <w:sz w:val="18"/>
    </w:rPr>
  </w:style>
  <w:style w:type="character" w:customStyle="1" w:styleId="Char">
    <w:name w:val="尾注文本 Char"/>
    <w:link w:val="a8"/>
    <w:uiPriority w:val="99"/>
    <w:semiHidden/>
    <w:qFormat/>
    <w:rPr>
      <w:lang w:val="en-US" w:eastAsia="zh-CN" w:bidi="ar-SA"/>
    </w:rPr>
  </w:style>
  <w:style w:type="paragraph" w:customStyle="1" w:styleId="TOC1">
    <w:name w:val="TOC 标题1"/>
    <w:uiPriority w:val="39"/>
    <w:unhideWhenUsed/>
    <w:qFormat/>
  </w:style>
  <w:style w:type="character" w:customStyle="1" w:styleId="Char1">
    <w:name w:val="脚注文本 Char"/>
    <w:link w:val="ad"/>
    <w:qFormat/>
    <w:rPr>
      <w:rFonts w:eastAsia="仿宋"/>
      <w:b/>
      <w:sz w:val="32"/>
      <w:szCs w:val="24"/>
    </w:rPr>
  </w:style>
  <w:style w:type="paragraph" w:customStyle="1" w:styleId="Style6">
    <w:name w:val="_Style 6"/>
    <w:basedOn w:val="a"/>
    <w:qFormat/>
  </w:style>
  <w:style w:type="character" w:customStyle="1" w:styleId="font31">
    <w:name w:val="font31"/>
    <w:qFormat/>
    <w:rPr>
      <w:rFonts w:ascii="宋体" w:eastAsia="宋体" w:hAnsi="宋体"/>
      <w:color w:val="FF0000"/>
      <w:sz w:val="24"/>
      <w:szCs w:val="24"/>
      <w:u w:val="none"/>
    </w:rPr>
  </w:style>
  <w:style w:type="character" w:customStyle="1" w:styleId="font11">
    <w:name w:val="font11"/>
    <w:qFormat/>
    <w:rPr>
      <w:rFonts w:ascii="宋体" w:eastAsia="宋体" w:hAnsi="宋体"/>
      <w:color w:val="000000"/>
      <w:sz w:val="24"/>
      <w:szCs w:val="24"/>
      <w:u w:val="none"/>
    </w:rPr>
  </w:style>
  <w:style w:type="paragraph" w:customStyle="1" w:styleId="16">
    <w:name w:val="修订1"/>
    <w:qFormat/>
    <w:rPr>
      <w:sz w:val="21"/>
      <w:szCs w:val="24"/>
    </w:rPr>
  </w:style>
  <w:style w:type="paragraph" w:customStyle="1" w:styleId="17">
    <w:name w:val="正文文本缩进1"/>
    <w:basedOn w:val="18"/>
    <w:qFormat/>
    <w:pPr>
      <w:spacing w:line="360" w:lineRule="auto"/>
      <w:ind w:firstLine="425"/>
    </w:pPr>
  </w:style>
  <w:style w:type="paragraph" w:customStyle="1" w:styleId="18">
    <w:name w:val="正文1"/>
    <w:qFormat/>
    <w:pPr>
      <w:widowControl w:val="0"/>
      <w:jc w:val="both"/>
    </w:pPr>
    <w:rPr>
      <w:sz w:val="21"/>
      <w:szCs w:val="24"/>
    </w:rPr>
  </w:style>
  <w:style w:type="paragraph" w:customStyle="1" w:styleId="Default">
    <w:name w:val="Default"/>
    <w:qFormat/>
    <w:pPr>
      <w:widowControl w:val="0"/>
    </w:pPr>
    <w:rPr>
      <w:rFonts w:ascii="宋体"/>
      <w:color w:val="000000"/>
      <w:sz w:val="24"/>
      <w:szCs w:val="24"/>
    </w:rPr>
  </w:style>
  <w:style w:type="paragraph" w:customStyle="1" w:styleId="p0">
    <w:name w:val="p0"/>
    <w:basedOn w:val="a"/>
    <w:qFormat/>
    <w:rPr>
      <w:sz w:val="21"/>
      <w:szCs w:val="21"/>
    </w:rPr>
  </w:style>
  <w:style w:type="paragraph" w:customStyle="1" w:styleId="CharChar5">
    <w:name w:val="Char Char5"/>
    <w:basedOn w:val="a"/>
    <w:qFormat/>
  </w:style>
  <w:style w:type="paragraph" w:styleId="afe">
    <w:name w:val="List Paragraph"/>
    <w:basedOn w:val="a"/>
    <w:qFormat/>
    <w:pPr>
      <w:ind w:firstLine="420"/>
    </w:pPr>
  </w:style>
  <w:style w:type="character" w:customStyle="1" w:styleId="2Char">
    <w:name w:val="正文文本 2 Char"/>
    <w:basedOn w:val="a0"/>
    <w:link w:val="21"/>
    <w:uiPriority w:val="99"/>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semiHidden="1" w:uiPriority="9" w:unhideWhenUsed="1"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1" w:unhideWhenUsed="1"/>
    <w:lsdException w:name="footnote text" w:qFormat="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unhideWhenUsed="1" w:qFormat="1"/>
    <w:lsdException w:name="envelope address" w:semiHidden="1" w:unhideWhenUsed="1"/>
    <w:lsdException w:name="envelope return" w:semiHidden="1" w:unhideWhenUsed="1"/>
    <w:lsdException w:name="footnote reference" w:unhideWhenUsed="1" w:qFormat="1"/>
    <w:lsdException w:name="annotation reference" w:uiPriority="0"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nhideWhenUsed="1" w:qFormat="1"/>
    <w:lsdException w:name="Body Text 3" w:semiHidden="1" w:unhideWhenUsed="1"/>
    <w:lsdException w:name="Body Text Indent 2" w:semiHidden="1" w:unhideWhenUsed="1"/>
    <w:lsdException w:name="Body Text Indent 3" w:uiPriority="0" w:qFormat="1"/>
    <w:lsdException w:name="Block Text" w:semiHidden="1" w:unhideWhenUsed="1"/>
    <w:lsdException w:name="Hyperlink" w:uiPriority="0" w:qFormat="1"/>
    <w:lsdException w:name="FollowedHyperlink" w:uiPriority="0" w:qFormat="1"/>
    <w:lsdException w:name="Strong" w:uiPriority="0"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0"/>
    <w:qFormat/>
  </w:style>
  <w:style w:type="paragraph" w:styleId="1">
    <w:name w:val="heading 1"/>
    <w:basedOn w:val="a"/>
    <w:next w:val="a"/>
    <w:qFormat/>
    <w:pPr>
      <w:keepNext/>
      <w:keepLines/>
      <w:numPr>
        <w:numId w:val="1"/>
      </w:numPr>
      <w:tabs>
        <w:tab w:val="left" w:pos="0"/>
      </w:tabs>
      <w:spacing w:before="340" w:after="330" w:line="578" w:lineRule="auto"/>
      <w:outlineLvl w:val="0"/>
    </w:pPr>
    <w:rPr>
      <w:b/>
      <w:sz w:val="44"/>
    </w:rPr>
  </w:style>
  <w:style w:type="paragraph" w:styleId="2">
    <w:name w:val="heading 2"/>
    <w:basedOn w:val="a"/>
    <w:next w:val="a"/>
    <w:qFormat/>
    <w:pPr>
      <w:keepNext/>
      <w:keepLines/>
      <w:numPr>
        <w:ilvl w:val="2"/>
        <w:numId w:val="1"/>
      </w:numPr>
      <w:spacing w:before="260" w:after="260" w:line="416" w:lineRule="auto"/>
      <w:outlineLvl w:val="1"/>
    </w:pPr>
    <w:rPr>
      <w:rFonts w:ascii="Arial" w:eastAsia="黑体" w:hAnsi="Arial"/>
      <w:b/>
      <w:bCs/>
      <w:sz w:val="32"/>
      <w:szCs w:val="32"/>
    </w:rPr>
  </w:style>
  <w:style w:type="paragraph" w:styleId="4">
    <w:name w:val="heading 4"/>
    <w:basedOn w:val="a"/>
    <w:next w:val="a"/>
    <w:qFormat/>
    <w:pPr>
      <w:keepNext/>
      <w:keepLines/>
      <w:numPr>
        <w:ilvl w:val="3"/>
        <w:numId w:val="1"/>
      </w:numPr>
      <w:spacing w:before="280" w:after="290" w:line="372" w:lineRule="auto"/>
      <w:outlineLvl w:val="3"/>
    </w:pPr>
    <w:rPr>
      <w:rFonts w:ascii="Arial" w:eastAsia="黑体" w:hAnsi="Arial"/>
      <w:b/>
      <w:sz w:val="28"/>
    </w:rPr>
  </w:style>
  <w:style w:type="paragraph" w:styleId="5">
    <w:name w:val="heading 5"/>
    <w:basedOn w:val="a"/>
    <w:next w:val="a"/>
    <w:qFormat/>
    <w:pPr>
      <w:keepNext/>
      <w:keepLines/>
      <w:numPr>
        <w:ilvl w:val="4"/>
        <w:numId w:val="1"/>
      </w:numPr>
      <w:spacing w:before="280" w:after="290" w:line="372" w:lineRule="auto"/>
      <w:outlineLvl w:val="4"/>
    </w:pPr>
    <w:rPr>
      <w:b/>
      <w:sz w:val="28"/>
    </w:rPr>
  </w:style>
  <w:style w:type="paragraph" w:styleId="6">
    <w:name w:val="heading 6"/>
    <w:basedOn w:val="a"/>
    <w:next w:val="a"/>
    <w:qFormat/>
    <w:pPr>
      <w:keepNext/>
      <w:keepLines/>
      <w:numPr>
        <w:ilvl w:val="5"/>
        <w:numId w:val="1"/>
      </w:numPr>
      <w:spacing w:before="240" w:after="64" w:line="317" w:lineRule="auto"/>
      <w:outlineLvl w:val="5"/>
    </w:pPr>
    <w:rPr>
      <w:rFonts w:ascii="Arial" w:eastAsia="黑体" w:hAnsi="Arial"/>
      <w:b/>
      <w:sz w:val="24"/>
    </w:rPr>
  </w:style>
  <w:style w:type="paragraph" w:styleId="7">
    <w:name w:val="heading 7"/>
    <w:basedOn w:val="a"/>
    <w:next w:val="a"/>
    <w:qFormat/>
    <w:pPr>
      <w:keepNext/>
      <w:keepLines/>
      <w:numPr>
        <w:ilvl w:val="6"/>
        <w:numId w:val="1"/>
      </w:numPr>
      <w:spacing w:before="240" w:after="64" w:line="317" w:lineRule="auto"/>
      <w:outlineLvl w:val="6"/>
    </w:pPr>
    <w:rPr>
      <w:b/>
      <w:sz w:val="24"/>
    </w:rPr>
  </w:style>
  <w:style w:type="paragraph" w:styleId="8">
    <w:name w:val="heading 8"/>
    <w:basedOn w:val="a"/>
    <w:next w:val="a"/>
    <w:qFormat/>
    <w:pPr>
      <w:keepNext/>
      <w:keepLines/>
      <w:numPr>
        <w:ilvl w:val="7"/>
        <w:numId w:val="1"/>
      </w:numPr>
      <w:spacing w:before="240" w:after="64" w:line="317" w:lineRule="auto"/>
      <w:outlineLvl w:val="7"/>
    </w:pPr>
    <w:rPr>
      <w:rFonts w:ascii="Arial" w:eastAsia="黑体" w:hAnsi="Arial"/>
      <w:sz w:val="24"/>
    </w:rPr>
  </w:style>
  <w:style w:type="paragraph" w:styleId="9">
    <w:name w:val="heading 9"/>
    <w:basedOn w:val="a"/>
    <w:next w:val="a"/>
    <w:qFormat/>
    <w:pPr>
      <w:keepNext/>
      <w:keepLines/>
      <w:numPr>
        <w:ilvl w:val="8"/>
        <w:numId w:val="1"/>
      </w:numPr>
      <w:spacing w:before="240" w:after="64" w:line="317"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引文目录1"/>
    <w:basedOn w:val="a"/>
    <w:next w:val="a"/>
    <w:qFormat/>
    <w:pPr>
      <w:ind w:leftChars="200" w:left="420"/>
    </w:pPr>
  </w:style>
  <w:style w:type="paragraph" w:styleId="70">
    <w:name w:val="toc 7"/>
    <w:basedOn w:val="a"/>
    <w:next w:val="a"/>
    <w:qFormat/>
    <w:pPr>
      <w:ind w:left="2520"/>
    </w:pPr>
  </w:style>
  <w:style w:type="paragraph" w:styleId="a3">
    <w:name w:val="annotation text"/>
    <w:basedOn w:val="a"/>
    <w:qFormat/>
  </w:style>
  <w:style w:type="paragraph" w:styleId="a4">
    <w:name w:val="Body Text"/>
    <w:basedOn w:val="a"/>
    <w:qFormat/>
    <w:pPr>
      <w:spacing w:line="360" w:lineRule="auto"/>
    </w:pPr>
    <w:rPr>
      <w:rFonts w:ascii="仿宋_GB2312" w:eastAsia="仿宋_GB2312"/>
      <w:sz w:val="24"/>
    </w:rPr>
  </w:style>
  <w:style w:type="paragraph" w:styleId="a5">
    <w:name w:val="Body Text Indent"/>
    <w:basedOn w:val="a"/>
    <w:qFormat/>
    <w:pPr>
      <w:spacing w:line="360" w:lineRule="auto"/>
      <w:ind w:firstLine="425"/>
    </w:pPr>
  </w:style>
  <w:style w:type="paragraph" w:styleId="50">
    <w:name w:val="toc 5"/>
    <w:basedOn w:val="a"/>
    <w:next w:val="a"/>
    <w:qFormat/>
    <w:pPr>
      <w:ind w:left="1680"/>
    </w:pPr>
  </w:style>
  <w:style w:type="paragraph" w:styleId="3">
    <w:name w:val="toc 3"/>
    <w:basedOn w:val="a"/>
    <w:next w:val="a"/>
    <w:qFormat/>
    <w:pPr>
      <w:ind w:left="840"/>
    </w:pPr>
  </w:style>
  <w:style w:type="paragraph" w:styleId="a6">
    <w:name w:val="Plain Text"/>
    <w:basedOn w:val="a"/>
    <w:qFormat/>
    <w:rPr>
      <w:rFonts w:ascii="宋体" w:hAnsi="Courier New"/>
    </w:rPr>
  </w:style>
  <w:style w:type="paragraph" w:styleId="80">
    <w:name w:val="toc 8"/>
    <w:basedOn w:val="a"/>
    <w:next w:val="a"/>
    <w:qFormat/>
    <w:pPr>
      <w:ind w:left="2940"/>
    </w:pPr>
  </w:style>
  <w:style w:type="paragraph" w:styleId="a7">
    <w:name w:val="Date"/>
    <w:basedOn w:val="a"/>
    <w:next w:val="a"/>
    <w:qFormat/>
  </w:style>
  <w:style w:type="paragraph" w:styleId="a8">
    <w:name w:val="endnote text"/>
    <w:link w:val="Char"/>
    <w:uiPriority w:val="99"/>
    <w:semiHidden/>
    <w:unhideWhenUsed/>
    <w:qFormat/>
  </w:style>
  <w:style w:type="paragraph" w:styleId="a9">
    <w:name w:val="Balloon Text"/>
    <w:basedOn w:val="a"/>
    <w:qFormat/>
    <w:rPr>
      <w:sz w:val="18"/>
      <w:szCs w:val="18"/>
    </w:rPr>
  </w:style>
  <w:style w:type="paragraph" w:styleId="aa">
    <w:name w:val="footer"/>
    <w:basedOn w:val="a"/>
    <w:qFormat/>
    <w:pPr>
      <w:tabs>
        <w:tab w:val="center" w:pos="4153"/>
        <w:tab w:val="right" w:pos="8306"/>
      </w:tabs>
    </w:pPr>
    <w:rPr>
      <w:sz w:val="18"/>
      <w:szCs w:val="18"/>
    </w:rPr>
  </w:style>
  <w:style w:type="paragraph" w:styleId="ab">
    <w:name w:val="header"/>
    <w:basedOn w:val="a"/>
    <w:qFormat/>
    <w:pPr>
      <w:pBdr>
        <w:bottom w:val="single" w:sz="6" w:space="1" w:color="000000"/>
      </w:pBdr>
      <w:tabs>
        <w:tab w:val="center" w:pos="4153"/>
        <w:tab w:val="right" w:pos="8306"/>
      </w:tabs>
      <w:jc w:val="center"/>
    </w:pPr>
    <w:rPr>
      <w:sz w:val="18"/>
      <w:szCs w:val="18"/>
    </w:rPr>
  </w:style>
  <w:style w:type="paragraph" w:styleId="11">
    <w:name w:val="toc 1"/>
    <w:basedOn w:val="a"/>
    <w:next w:val="a"/>
    <w:qFormat/>
  </w:style>
  <w:style w:type="paragraph" w:styleId="40">
    <w:name w:val="toc 4"/>
    <w:basedOn w:val="a"/>
    <w:next w:val="a"/>
    <w:qFormat/>
    <w:pPr>
      <w:ind w:left="1260"/>
    </w:pPr>
  </w:style>
  <w:style w:type="paragraph" w:styleId="ac">
    <w:name w:val="Subtitle"/>
    <w:link w:val="Char0"/>
    <w:uiPriority w:val="11"/>
    <w:qFormat/>
    <w:pPr>
      <w:spacing w:before="200" w:after="200"/>
    </w:pPr>
    <w:rPr>
      <w:sz w:val="24"/>
      <w:szCs w:val="24"/>
    </w:rPr>
  </w:style>
  <w:style w:type="paragraph" w:styleId="ad">
    <w:name w:val="footnote text"/>
    <w:basedOn w:val="a"/>
    <w:link w:val="Char1"/>
    <w:uiPriority w:val="99"/>
    <w:qFormat/>
    <w:pPr>
      <w:spacing w:before="156" w:after="156"/>
      <w:jc w:val="center"/>
      <w:outlineLvl w:val="1"/>
    </w:pPr>
    <w:rPr>
      <w:sz w:val="18"/>
    </w:rPr>
  </w:style>
  <w:style w:type="paragraph" w:styleId="60">
    <w:name w:val="toc 6"/>
    <w:basedOn w:val="a"/>
    <w:next w:val="a"/>
    <w:qFormat/>
    <w:pPr>
      <w:ind w:left="2100"/>
    </w:pPr>
  </w:style>
  <w:style w:type="paragraph" w:styleId="30">
    <w:name w:val="Body Text Indent 3"/>
    <w:basedOn w:val="a"/>
    <w:qFormat/>
    <w:pPr>
      <w:spacing w:after="120"/>
      <w:ind w:left="420"/>
    </w:pPr>
    <w:rPr>
      <w:sz w:val="16"/>
      <w:szCs w:val="16"/>
    </w:rPr>
  </w:style>
  <w:style w:type="paragraph" w:styleId="ae">
    <w:name w:val="table of figures"/>
    <w:next w:val="a"/>
    <w:uiPriority w:val="99"/>
    <w:unhideWhenUsed/>
    <w:qFormat/>
  </w:style>
  <w:style w:type="paragraph" w:styleId="20">
    <w:name w:val="toc 2"/>
    <w:basedOn w:val="a"/>
    <w:next w:val="a"/>
    <w:qFormat/>
    <w:pPr>
      <w:ind w:left="420"/>
    </w:pPr>
  </w:style>
  <w:style w:type="paragraph" w:styleId="90">
    <w:name w:val="toc 9"/>
    <w:basedOn w:val="a"/>
    <w:next w:val="a"/>
    <w:qFormat/>
    <w:pPr>
      <w:ind w:left="3360"/>
    </w:pPr>
  </w:style>
  <w:style w:type="paragraph" w:styleId="21">
    <w:name w:val="Body Text 2"/>
    <w:basedOn w:val="a"/>
    <w:link w:val="2Char"/>
    <w:uiPriority w:val="99"/>
    <w:unhideWhenUsed/>
    <w:qFormat/>
    <w:pPr>
      <w:widowControl w:val="0"/>
      <w:spacing w:after="120" w:line="480" w:lineRule="auto"/>
      <w:jc w:val="both"/>
    </w:pPr>
    <w:rPr>
      <w:kern w:val="2"/>
      <w:sz w:val="21"/>
      <w:szCs w:val="24"/>
    </w:rPr>
  </w:style>
  <w:style w:type="paragraph" w:styleId="af">
    <w:name w:val="Normal (Web)"/>
    <w:basedOn w:val="a"/>
    <w:qFormat/>
    <w:pPr>
      <w:spacing w:before="100" w:beforeAutospacing="1" w:after="100" w:afterAutospacing="1"/>
    </w:pPr>
    <w:rPr>
      <w:sz w:val="24"/>
    </w:rPr>
  </w:style>
  <w:style w:type="paragraph" w:styleId="12">
    <w:name w:val="index 1"/>
    <w:basedOn w:val="a"/>
    <w:next w:val="a"/>
    <w:qFormat/>
  </w:style>
  <w:style w:type="paragraph" w:styleId="af0">
    <w:name w:val="Title"/>
    <w:link w:val="Char2"/>
    <w:uiPriority w:val="10"/>
    <w:qFormat/>
    <w:pPr>
      <w:spacing w:before="300" w:after="200"/>
      <w:contextualSpacing/>
    </w:pPr>
    <w:rPr>
      <w:sz w:val="48"/>
      <w:szCs w:val="48"/>
    </w:rPr>
  </w:style>
  <w:style w:type="paragraph" w:styleId="af1">
    <w:name w:val="annotation subject"/>
    <w:basedOn w:val="a3"/>
    <w:next w:val="a3"/>
    <w:qFormat/>
    <w:rPr>
      <w:b/>
      <w:bCs/>
    </w:rPr>
  </w:style>
  <w:style w:type="paragraph" w:styleId="af2">
    <w:name w:val="Body Text First Indent"/>
    <w:basedOn w:val="a4"/>
    <w:next w:val="22"/>
    <w:qFormat/>
    <w:pPr>
      <w:spacing w:line="240" w:lineRule="atLeast"/>
      <w:ind w:firstLine="976"/>
      <w:jc w:val="center"/>
    </w:pPr>
    <w:rPr>
      <w:rFonts w:eastAsia="彩虹黑体"/>
      <w:color w:val="FF0000"/>
      <w:spacing w:val="-20"/>
      <w:w w:val="90"/>
      <w:sz w:val="28"/>
    </w:rPr>
  </w:style>
  <w:style w:type="paragraph" w:styleId="22">
    <w:name w:val="Body Text First Indent 2"/>
    <w:basedOn w:val="a5"/>
    <w:qFormat/>
    <w:pPr>
      <w:ind w:firstLine="420"/>
    </w:pPr>
  </w:style>
  <w:style w:type="table" w:styleId="af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styleId="af4">
    <w:name w:val="Strong"/>
    <w:qFormat/>
    <w:rPr>
      <w:b/>
      <w:sz w:val="20"/>
      <w:szCs w:val="20"/>
    </w:rPr>
  </w:style>
  <w:style w:type="character" w:styleId="af5">
    <w:name w:val="endnote reference"/>
    <w:uiPriority w:val="99"/>
    <w:semiHidden/>
    <w:unhideWhenUsed/>
    <w:qFormat/>
    <w:rPr>
      <w:vertAlign w:val="superscript"/>
    </w:rPr>
  </w:style>
  <w:style w:type="character" w:styleId="af6">
    <w:name w:val="page number"/>
    <w:qFormat/>
  </w:style>
  <w:style w:type="character" w:styleId="af7">
    <w:name w:val="FollowedHyperlink"/>
    <w:qFormat/>
    <w:rPr>
      <w:color w:val="800080"/>
      <w:sz w:val="20"/>
      <w:szCs w:val="20"/>
      <w:u w:val="single"/>
    </w:rPr>
  </w:style>
  <w:style w:type="character" w:styleId="af8">
    <w:name w:val="Hyperlink"/>
    <w:qFormat/>
    <w:rPr>
      <w:color w:val="0000FF"/>
      <w:sz w:val="20"/>
      <w:szCs w:val="20"/>
      <w:u w:val="single"/>
    </w:rPr>
  </w:style>
  <w:style w:type="character" w:styleId="af9">
    <w:name w:val="annotation reference"/>
    <w:qFormat/>
    <w:rPr>
      <w:sz w:val="21"/>
      <w:szCs w:val="21"/>
    </w:rPr>
  </w:style>
  <w:style w:type="character" w:styleId="afa">
    <w:name w:val="footnote reference"/>
    <w:uiPriority w:val="99"/>
    <w:unhideWhenUsed/>
    <w:qFormat/>
    <w:rPr>
      <w:vertAlign w:val="superscript"/>
    </w:rPr>
  </w:style>
  <w:style w:type="paragraph" w:customStyle="1" w:styleId="Heading21">
    <w:name w:val="Heading 21"/>
    <w:basedOn w:val="a"/>
    <w:next w:val="a"/>
    <w:qFormat/>
    <w:pPr>
      <w:spacing w:line="360" w:lineRule="auto"/>
      <w:jc w:val="center"/>
      <w:outlineLvl w:val="1"/>
    </w:pPr>
    <w:rPr>
      <w:rFonts w:ascii="宋体" w:hAnsi="宋体"/>
      <w:b/>
      <w:sz w:val="28"/>
      <w:szCs w:val="28"/>
    </w:rPr>
  </w:style>
  <w:style w:type="paragraph" w:customStyle="1" w:styleId="110">
    <w:name w:val="标题 11"/>
    <w:link w:val="Heading1Char"/>
    <w:uiPriority w:val="9"/>
    <w:qFormat/>
    <w:pPr>
      <w:keepNext/>
      <w:keepLines/>
      <w:spacing w:before="480" w:after="200"/>
      <w:outlineLvl w:val="0"/>
    </w:pPr>
    <w:rPr>
      <w:rFonts w:ascii="Arial" w:hAnsi="Arial"/>
      <w:sz w:val="40"/>
      <w:szCs w:val="40"/>
    </w:rPr>
  </w:style>
  <w:style w:type="character" w:customStyle="1" w:styleId="Heading1Char">
    <w:name w:val="Heading 1 Char"/>
    <w:link w:val="110"/>
    <w:uiPriority w:val="9"/>
    <w:qFormat/>
    <w:rPr>
      <w:rFonts w:ascii="Arial" w:hAnsi="Arial"/>
      <w:sz w:val="40"/>
      <w:szCs w:val="40"/>
      <w:lang w:bidi="ar-SA"/>
    </w:rPr>
  </w:style>
  <w:style w:type="character" w:customStyle="1" w:styleId="Heading2Char">
    <w:name w:val="Heading 2 Char"/>
    <w:link w:val="210"/>
    <w:uiPriority w:val="9"/>
    <w:qFormat/>
    <w:rPr>
      <w:rFonts w:ascii="Arial" w:hAnsi="Arial" w:cs="Arial"/>
      <w:sz w:val="34"/>
    </w:rPr>
  </w:style>
  <w:style w:type="paragraph" w:customStyle="1" w:styleId="210">
    <w:name w:val="标题 21"/>
    <w:basedOn w:val="a"/>
    <w:next w:val="a"/>
    <w:link w:val="Heading2Char"/>
    <w:uiPriority w:val="9"/>
    <w:qFormat/>
    <w:pPr>
      <w:spacing w:line="360" w:lineRule="auto"/>
      <w:jc w:val="center"/>
      <w:outlineLvl w:val="1"/>
    </w:pPr>
    <w:rPr>
      <w:rFonts w:ascii="Arial" w:hAnsi="Arial"/>
      <w:sz w:val="34"/>
    </w:rPr>
  </w:style>
  <w:style w:type="paragraph" w:customStyle="1" w:styleId="31">
    <w:name w:val="标题 31"/>
    <w:link w:val="Heading3Char"/>
    <w:uiPriority w:val="9"/>
    <w:unhideWhenUsed/>
    <w:qFormat/>
    <w:pPr>
      <w:keepNext/>
      <w:keepLines/>
      <w:spacing w:before="320" w:after="200"/>
      <w:outlineLvl w:val="2"/>
    </w:pPr>
    <w:rPr>
      <w:rFonts w:ascii="Arial" w:hAnsi="Arial"/>
      <w:sz w:val="30"/>
      <w:szCs w:val="30"/>
    </w:rPr>
  </w:style>
  <w:style w:type="character" w:customStyle="1" w:styleId="Heading3Char">
    <w:name w:val="Heading 3 Char"/>
    <w:link w:val="31"/>
    <w:uiPriority w:val="9"/>
    <w:qFormat/>
    <w:rPr>
      <w:rFonts w:ascii="Arial" w:hAnsi="Arial"/>
      <w:sz w:val="30"/>
      <w:szCs w:val="30"/>
      <w:lang w:bidi="ar-SA"/>
    </w:rPr>
  </w:style>
  <w:style w:type="paragraph" w:customStyle="1" w:styleId="41">
    <w:name w:val="标题 41"/>
    <w:link w:val="Heading4Char"/>
    <w:uiPriority w:val="9"/>
    <w:unhideWhenUsed/>
    <w:qFormat/>
    <w:pPr>
      <w:keepNext/>
      <w:keepLines/>
      <w:spacing w:before="320" w:after="200"/>
      <w:outlineLvl w:val="3"/>
    </w:pPr>
    <w:rPr>
      <w:rFonts w:ascii="Arial" w:hAnsi="Arial"/>
      <w:b/>
      <w:bCs/>
      <w:sz w:val="26"/>
      <w:szCs w:val="26"/>
    </w:rPr>
  </w:style>
  <w:style w:type="character" w:customStyle="1" w:styleId="Heading4Char">
    <w:name w:val="Heading 4 Char"/>
    <w:link w:val="41"/>
    <w:uiPriority w:val="9"/>
    <w:qFormat/>
    <w:rPr>
      <w:rFonts w:ascii="Arial" w:hAnsi="Arial"/>
      <w:b/>
      <w:bCs/>
      <w:sz w:val="26"/>
      <w:szCs w:val="26"/>
      <w:lang w:bidi="ar-SA"/>
    </w:rPr>
  </w:style>
  <w:style w:type="paragraph" w:customStyle="1" w:styleId="51">
    <w:name w:val="标题 51"/>
    <w:link w:val="Heading5Char"/>
    <w:uiPriority w:val="9"/>
    <w:unhideWhenUsed/>
    <w:qFormat/>
    <w:pPr>
      <w:keepNext/>
      <w:keepLines/>
      <w:spacing w:before="320" w:after="200"/>
      <w:outlineLvl w:val="4"/>
    </w:pPr>
    <w:rPr>
      <w:rFonts w:ascii="Arial" w:hAnsi="Arial"/>
      <w:b/>
      <w:bCs/>
      <w:sz w:val="24"/>
      <w:szCs w:val="24"/>
    </w:rPr>
  </w:style>
  <w:style w:type="character" w:customStyle="1" w:styleId="Heading5Char">
    <w:name w:val="Heading 5 Char"/>
    <w:link w:val="51"/>
    <w:uiPriority w:val="9"/>
    <w:qFormat/>
    <w:rPr>
      <w:rFonts w:ascii="Arial" w:hAnsi="Arial"/>
      <w:b/>
      <w:bCs/>
      <w:sz w:val="24"/>
      <w:szCs w:val="24"/>
      <w:lang w:bidi="ar-SA"/>
    </w:rPr>
  </w:style>
  <w:style w:type="paragraph" w:customStyle="1" w:styleId="61">
    <w:name w:val="标题 61"/>
    <w:link w:val="Heading6Char"/>
    <w:uiPriority w:val="9"/>
    <w:unhideWhenUsed/>
    <w:qFormat/>
    <w:pPr>
      <w:keepNext/>
      <w:keepLines/>
      <w:spacing w:before="320" w:after="200"/>
      <w:outlineLvl w:val="5"/>
    </w:pPr>
    <w:rPr>
      <w:rFonts w:ascii="Arial" w:hAnsi="Arial"/>
      <w:b/>
      <w:bCs/>
      <w:sz w:val="22"/>
      <w:szCs w:val="22"/>
    </w:rPr>
  </w:style>
  <w:style w:type="character" w:customStyle="1" w:styleId="Heading6Char">
    <w:name w:val="Heading 6 Char"/>
    <w:link w:val="61"/>
    <w:uiPriority w:val="9"/>
    <w:qFormat/>
    <w:rPr>
      <w:rFonts w:ascii="Arial" w:hAnsi="Arial"/>
      <w:b/>
      <w:bCs/>
      <w:sz w:val="22"/>
      <w:szCs w:val="22"/>
      <w:lang w:bidi="ar-SA"/>
    </w:rPr>
  </w:style>
  <w:style w:type="paragraph" w:customStyle="1" w:styleId="71">
    <w:name w:val="标题 71"/>
    <w:link w:val="Heading7Char"/>
    <w:uiPriority w:val="9"/>
    <w:unhideWhenUsed/>
    <w:qFormat/>
    <w:pPr>
      <w:keepNext/>
      <w:keepLines/>
      <w:spacing w:before="320" w:after="200"/>
      <w:outlineLvl w:val="6"/>
    </w:pPr>
    <w:rPr>
      <w:rFonts w:ascii="Arial" w:hAnsi="Arial"/>
      <w:b/>
      <w:bCs/>
      <w:i/>
      <w:iCs/>
      <w:sz w:val="22"/>
      <w:szCs w:val="22"/>
    </w:rPr>
  </w:style>
  <w:style w:type="character" w:customStyle="1" w:styleId="Heading7Char">
    <w:name w:val="Heading 7 Char"/>
    <w:link w:val="71"/>
    <w:uiPriority w:val="9"/>
    <w:qFormat/>
    <w:rPr>
      <w:rFonts w:ascii="Arial" w:hAnsi="Arial"/>
      <w:b/>
      <w:bCs/>
      <w:i/>
      <w:iCs/>
      <w:sz w:val="22"/>
      <w:szCs w:val="22"/>
      <w:lang w:bidi="ar-SA"/>
    </w:rPr>
  </w:style>
  <w:style w:type="paragraph" w:customStyle="1" w:styleId="81">
    <w:name w:val="标题 81"/>
    <w:link w:val="Heading8Char"/>
    <w:uiPriority w:val="9"/>
    <w:unhideWhenUsed/>
    <w:qFormat/>
    <w:pPr>
      <w:keepNext/>
      <w:keepLines/>
      <w:spacing w:before="320" w:after="200"/>
      <w:outlineLvl w:val="7"/>
    </w:pPr>
    <w:rPr>
      <w:rFonts w:ascii="Arial" w:hAnsi="Arial"/>
      <w:i/>
      <w:iCs/>
      <w:sz w:val="22"/>
      <w:szCs w:val="22"/>
    </w:rPr>
  </w:style>
  <w:style w:type="character" w:customStyle="1" w:styleId="Heading8Char">
    <w:name w:val="Heading 8 Char"/>
    <w:link w:val="81"/>
    <w:uiPriority w:val="9"/>
    <w:qFormat/>
    <w:rPr>
      <w:rFonts w:ascii="Arial" w:hAnsi="Arial"/>
      <w:i/>
      <w:iCs/>
      <w:sz w:val="22"/>
      <w:szCs w:val="22"/>
      <w:lang w:bidi="ar-SA"/>
    </w:rPr>
  </w:style>
  <w:style w:type="paragraph" w:customStyle="1" w:styleId="91">
    <w:name w:val="标题 91"/>
    <w:link w:val="Heading9Char"/>
    <w:uiPriority w:val="9"/>
    <w:unhideWhenUsed/>
    <w:qFormat/>
    <w:pPr>
      <w:keepNext/>
      <w:keepLines/>
      <w:spacing w:before="320" w:after="200"/>
      <w:outlineLvl w:val="8"/>
    </w:pPr>
    <w:rPr>
      <w:rFonts w:ascii="Arial" w:hAnsi="Arial"/>
      <w:i/>
      <w:iCs/>
      <w:sz w:val="21"/>
      <w:szCs w:val="21"/>
    </w:rPr>
  </w:style>
  <w:style w:type="character" w:customStyle="1" w:styleId="Heading9Char">
    <w:name w:val="Heading 9 Char"/>
    <w:link w:val="91"/>
    <w:uiPriority w:val="9"/>
    <w:qFormat/>
    <w:rPr>
      <w:rFonts w:ascii="Arial" w:hAnsi="Arial"/>
      <w:i/>
      <w:iCs/>
      <w:sz w:val="21"/>
      <w:szCs w:val="21"/>
      <w:lang w:bidi="ar-SA"/>
    </w:rPr>
  </w:style>
  <w:style w:type="paragraph" w:styleId="afb">
    <w:name w:val="No Spacing"/>
    <w:uiPriority w:val="1"/>
    <w:qFormat/>
  </w:style>
  <w:style w:type="character" w:customStyle="1" w:styleId="Char2">
    <w:name w:val="标题 Char"/>
    <w:link w:val="af0"/>
    <w:uiPriority w:val="10"/>
    <w:qFormat/>
    <w:rPr>
      <w:sz w:val="48"/>
      <w:szCs w:val="48"/>
      <w:lang w:bidi="ar-SA"/>
    </w:rPr>
  </w:style>
  <w:style w:type="character" w:customStyle="1" w:styleId="Char0">
    <w:name w:val="副标题 Char"/>
    <w:link w:val="ac"/>
    <w:uiPriority w:val="11"/>
    <w:qFormat/>
    <w:rPr>
      <w:sz w:val="24"/>
      <w:szCs w:val="24"/>
      <w:lang w:bidi="ar-SA"/>
    </w:rPr>
  </w:style>
  <w:style w:type="paragraph" w:styleId="afc">
    <w:name w:val="Quote"/>
    <w:link w:val="Char3"/>
    <w:uiPriority w:val="29"/>
    <w:qFormat/>
    <w:pPr>
      <w:ind w:left="720" w:right="720"/>
    </w:pPr>
    <w:rPr>
      <w:i/>
    </w:rPr>
  </w:style>
  <w:style w:type="character" w:customStyle="1" w:styleId="Char3">
    <w:name w:val="引用 Char"/>
    <w:link w:val="afc"/>
    <w:uiPriority w:val="29"/>
    <w:qFormat/>
    <w:rPr>
      <w:i/>
      <w:lang w:val="en-US" w:eastAsia="zh-CN" w:bidi="ar-SA"/>
    </w:rPr>
  </w:style>
  <w:style w:type="paragraph" w:styleId="afd">
    <w:name w:val="Intense Quote"/>
    <w:link w:val="Char4"/>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Char4">
    <w:name w:val="明显引用 Char"/>
    <w:link w:val="afd"/>
    <w:uiPriority w:val="30"/>
    <w:qFormat/>
    <w:rPr>
      <w:i/>
      <w:shd w:val="clear" w:color="F2F2F2" w:fill="F2F2F2"/>
      <w:lang w:val="en-US" w:eastAsia="zh-CN" w:bidi="ar-SA"/>
    </w:rPr>
  </w:style>
  <w:style w:type="paragraph" w:customStyle="1" w:styleId="13">
    <w:name w:val="页眉1"/>
    <w:link w:val="HeaderChar"/>
    <w:uiPriority w:val="99"/>
    <w:unhideWhenUsed/>
    <w:qFormat/>
    <w:pPr>
      <w:tabs>
        <w:tab w:val="center" w:pos="7143"/>
        <w:tab w:val="right" w:pos="14287"/>
      </w:tabs>
    </w:pPr>
  </w:style>
  <w:style w:type="character" w:customStyle="1" w:styleId="HeaderChar">
    <w:name w:val="Header Char"/>
    <w:link w:val="13"/>
    <w:uiPriority w:val="99"/>
    <w:qFormat/>
    <w:rPr>
      <w:lang w:val="en-US" w:eastAsia="zh-CN" w:bidi="ar-SA"/>
    </w:rPr>
  </w:style>
  <w:style w:type="paragraph" w:customStyle="1" w:styleId="14">
    <w:name w:val="页脚1"/>
    <w:link w:val="CaptionChar"/>
    <w:uiPriority w:val="99"/>
    <w:unhideWhenUsed/>
    <w:qFormat/>
    <w:pPr>
      <w:tabs>
        <w:tab w:val="center" w:pos="7143"/>
        <w:tab w:val="right" w:pos="14287"/>
      </w:tabs>
    </w:pPr>
  </w:style>
  <w:style w:type="character" w:customStyle="1" w:styleId="FooterChar">
    <w:name w:val="Footer Char"/>
    <w:uiPriority w:val="99"/>
    <w:qFormat/>
  </w:style>
  <w:style w:type="paragraph" w:customStyle="1" w:styleId="15">
    <w:name w:val="题注1"/>
    <w:uiPriority w:val="35"/>
    <w:semiHidden/>
    <w:unhideWhenUsed/>
    <w:qFormat/>
    <w:pPr>
      <w:spacing w:line="276" w:lineRule="auto"/>
    </w:pPr>
    <w:rPr>
      <w:b/>
      <w:bCs/>
      <w:color w:val="4F81BD"/>
      <w:sz w:val="18"/>
      <w:szCs w:val="18"/>
    </w:rPr>
  </w:style>
  <w:style w:type="character" w:customStyle="1" w:styleId="CaptionChar">
    <w:name w:val="Caption Char"/>
    <w:link w:val="14"/>
    <w:uiPriority w:val="99"/>
    <w:qFormat/>
    <w:rPr>
      <w:lang w:val="en-US" w:eastAsia="zh-CN" w:bidi="ar-SA"/>
    </w:rPr>
  </w:style>
  <w:style w:type="table" w:customStyle="1" w:styleId="TableGridLight">
    <w:name w:val="Table Grid Light"/>
    <w:uiPriority w:val="59"/>
    <w:qFormat/>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uiPriority w:val="59"/>
    <w:qFormat/>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2">
    <w:name w:val="Plain Table 2"/>
    <w:uiPriority w:val="59"/>
    <w:qFormat/>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PlainTable3">
    <w:name w:val="Plain Table 3"/>
    <w:uiPriority w:val="99"/>
    <w:qFormat/>
    <w:tblPr>
      <w:tblCellMar>
        <w:top w:w="0" w:type="dxa"/>
        <w:left w:w="0" w:type="dxa"/>
        <w:bottom w:w="0" w:type="dxa"/>
        <w:right w:w="0" w:type="dxa"/>
      </w:tblCellMar>
    </w:tblPr>
  </w:style>
  <w:style w:type="table" w:customStyle="1" w:styleId="PlainTable4">
    <w:name w:val="Plain Table 4"/>
    <w:uiPriority w:val="99"/>
    <w:qFormat/>
    <w:tblPr>
      <w:tblCellMar>
        <w:top w:w="0" w:type="dxa"/>
        <w:left w:w="0" w:type="dxa"/>
        <w:bottom w:w="0" w:type="dxa"/>
        <w:right w:w="0" w:type="dxa"/>
      </w:tblCellMar>
    </w:tblPr>
  </w:style>
  <w:style w:type="table" w:customStyle="1" w:styleId="PlainTable5">
    <w:name w:val="Plain Table 5"/>
    <w:uiPriority w:val="99"/>
    <w:qFormat/>
    <w:tblPr>
      <w:tblCellMar>
        <w:top w:w="0" w:type="dxa"/>
        <w:left w:w="0" w:type="dxa"/>
        <w:bottom w:w="0" w:type="dxa"/>
        <w:right w:w="0" w:type="dxa"/>
      </w:tblCellMar>
    </w:tblPr>
  </w:style>
  <w:style w:type="table" w:customStyle="1" w:styleId="GridTable1Light">
    <w:name w:val="Grid Table 1 Light"/>
    <w:uiPriority w:val="99"/>
    <w:qFormat/>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qFormat/>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qFormat/>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qFormat/>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qFormat/>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qFormat/>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qFormat/>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GridTable2">
    <w:name w:val="Grid Table 2"/>
    <w:uiPriority w:val="99"/>
    <w:qFormat/>
    <w:tblPr>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qFormat/>
    <w:tblPr>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qFormat/>
    <w:tblPr>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qFormat/>
    <w:tblPr>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qFormat/>
    <w:tblPr>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qFormat/>
    <w:tblPr>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qFormat/>
    <w:tblPr>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3">
    <w:name w:val="Grid Table 3"/>
    <w:uiPriority w:val="99"/>
    <w:qFormat/>
    <w:tblPr>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qFormat/>
    <w:tblPr>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qFormat/>
    <w:tblPr>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qFormat/>
    <w:tblPr>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qFormat/>
    <w:tblPr>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qFormat/>
    <w:tblPr>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qFormat/>
    <w:tblPr>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4">
    <w:name w:val="Grid Table 4"/>
    <w:uiPriority w:val="59"/>
    <w:qFormat/>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qFormat/>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qFormat/>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qFormat/>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qFormat/>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qFormat/>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qFormat/>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GridTable5Dark">
    <w:name w:val="Grid Table 5 Dark"/>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
    <w:name w:val="Grid Table 5 Dark- Accent 1"/>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
    <w:name w:val="Grid Table 5 Dark - Accent 2"/>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
    <w:name w:val="Grid Table 5 Dark - Accent 3"/>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
    <w:name w:val="Grid Table 5 Dark- Accent 4"/>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
    <w:name w:val="Grid Table 5 Dark - Accent 5"/>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
    <w:name w:val="Grid Table 5 Dark - Accent 6"/>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6Colorful">
    <w:name w:val="Grid Table 6 Colorful"/>
    <w:uiPriority w:val="99"/>
    <w:qFormat/>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qFormat/>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qFormat/>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qFormat/>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qFormat/>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qFormat/>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qFormat/>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7Colorful">
    <w:name w:val="Grid Table 7 Colorful"/>
    <w:uiPriority w:val="99"/>
    <w:qFormat/>
    <w:tblPr>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qFormat/>
    <w:tblPr>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qFormat/>
    <w:tblPr>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qFormat/>
    <w:tblPr>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qFormat/>
    <w:tblPr>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qFormat/>
    <w:tblPr>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qFormat/>
    <w:tblPr>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ListTable1Light">
    <w:name w:val="List Table 1 Light"/>
    <w:uiPriority w:val="99"/>
    <w:qFormat/>
    <w:tblPr>
      <w:tblCellMar>
        <w:top w:w="0" w:type="dxa"/>
        <w:left w:w="0" w:type="dxa"/>
        <w:bottom w:w="0" w:type="dxa"/>
        <w:right w:w="0" w:type="dxa"/>
      </w:tblCellMar>
    </w:tblPr>
  </w:style>
  <w:style w:type="table" w:customStyle="1" w:styleId="ListTable1Light-Accent1">
    <w:name w:val="List Table 1 Light - Accent 1"/>
    <w:uiPriority w:val="99"/>
    <w:qFormat/>
    <w:tblPr>
      <w:tblCellMar>
        <w:top w:w="0" w:type="dxa"/>
        <w:left w:w="0" w:type="dxa"/>
        <w:bottom w:w="0" w:type="dxa"/>
        <w:right w:w="0" w:type="dxa"/>
      </w:tblCellMar>
    </w:tblPr>
  </w:style>
  <w:style w:type="table" w:customStyle="1" w:styleId="ListTable1Light-Accent2">
    <w:name w:val="List Table 1 Light - Accent 2"/>
    <w:uiPriority w:val="99"/>
    <w:qFormat/>
    <w:tblPr>
      <w:tblCellMar>
        <w:top w:w="0" w:type="dxa"/>
        <w:left w:w="0" w:type="dxa"/>
        <w:bottom w:w="0" w:type="dxa"/>
        <w:right w:w="0" w:type="dxa"/>
      </w:tblCellMar>
    </w:tblPr>
  </w:style>
  <w:style w:type="table" w:customStyle="1" w:styleId="ListTable1Light-Accent3">
    <w:name w:val="List Table 1 Light - Accent 3"/>
    <w:uiPriority w:val="99"/>
    <w:qFormat/>
    <w:tblPr>
      <w:tblCellMar>
        <w:top w:w="0" w:type="dxa"/>
        <w:left w:w="0" w:type="dxa"/>
        <w:bottom w:w="0" w:type="dxa"/>
        <w:right w:w="0" w:type="dxa"/>
      </w:tblCellMar>
    </w:tblPr>
  </w:style>
  <w:style w:type="table" w:customStyle="1" w:styleId="ListTable1Light-Accent4">
    <w:name w:val="List Table 1 Light - Accent 4"/>
    <w:uiPriority w:val="99"/>
    <w:qFormat/>
    <w:tblPr>
      <w:tblCellMar>
        <w:top w:w="0" w:type="dxa"/>
        <w:left w:w="0" w:type="dxa"/>
        <w:bottom w:w="0" w:type="dxa"/>
        <w:right w:w="0" w:type="dxa"/>
      </w:tblCellMar>
    </w:tblPr>
  </w:style>
  <w:style w:type="table" w:customStyle="1" w:styleId="ListTable1Light-Accent5">
    <w:name w:val="List Table 1 Light - Accent 5"/>
    <w:uiPriority w:val="99"/>
    <w:qFormat/>
    <w:tblPr>
      <w:tblCellMar>
        <w:top w:w="0" w:type="dxa"/>
        <w:left w:w="0" w:type="dxa"/>
        <w:bottom w:w="0" w:type="dxa"/>
        <w:right w:w="0" w:type="dxa"/>
      </w:tblCellMar>
    </w:tblPr>
  </w:style>
  <w:style w:type="table" w:customStyle="1" w:styleId="ListTable1Light-Accent6">
    <w:name w:val="List Table 1 Light - Accent 6"/>
    <w:uiPriority w:val="99"/>
    <w:qFormat/>
    <w:tblPr>
      <w:tblCellMar>
        <w:top w:w="0" w:type="dxa"/>
        <w:left w:w="0" w:type="dxa"/>
        <w:bottom w:w="0" w:type="dxa"/>
        <w:right w:w="0" w:type="dxa"/>
      </w:tblCellMar>
    </w:tblPr>
  </w:style>
  <w:style w:type="table" w:customStyle="1" w:styleId="ListTable2">
    <w:name w:val="List Table 2"/>
    <w:uiPriority w:val="99"/>
    <w:qFormat/>
    <w:tblPr>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qFormat/>
    <w:tblPr>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qFormat/>
    <w:tblPr>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qFormat/>
    <w:tblPr>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qFormat/>
    <w:tblPr>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qFormat/>
    <w:tblPr>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qFormat/>
    <w:tblPr>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ListTable3">
    <w:name w:val="List Table 3"/>
    <w:uiPriority w:val="99"/>
    <w:qFormat/>
    <w:tblPr>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qFormat/>
    <w:tblPr>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qFormat/>
    <w:tblPr>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qFormat/>
    <w:tblPr>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qFormat/>
    <w:tblPr>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qFormat/>
    <w:tblPr>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qFormat/>
    <w:tblPr>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ListTable4">
    <w:name w:val="List Table 4"/>
    <w:uiPriority w:val="99"/>
    <w:qFormat/>
    <w:tblPr>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qFormat/>
    <w:tblPr>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qFormat/>
    <w:tblPr>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qFormat/>
    <w:tblPr>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qFormat/>
    <w:tblPr>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qFormat/>
    <w:tblPr>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qFormat/>
    <w:tblPr>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ListTable5Dark">
    <w:name w:val="List Table 5 Dark"/>
    <w:uiPriority w:val="99"/>
    <w:qFormat/>
    <w:tblPr>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
    <w:name w:val="List Table 5 Dark - Accent 1"/>
    <w:uiPriority w:val="99"/>
    <w:qFormat/>
    <w:tblPr>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
    <w:name w:val="List Table 5 Dark - Accent 2"/>
    <w:uiPriority w:val="99"/>
    <w:qFormat/>
    <w:tblPr>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
    <w:name w:val="List Table 5 Dark - Accent 3"/>
    <w:uiPriority w:val="99"/>
    <w:qFormat/>
    <w:tblPr>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
    <w:name w:val="List Table 5 Dark - Accent 4"/>
    <w:uiPriority w:val="99"/>
    <w:qFormat/>
    <w:tblPr>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
    <w:name w:val="List Table 5 Dark - Accent 5"/>
    <w:uiPriority w:val="99"/>
    <w:qFormat/>
    <w:tblPr>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
    <w:name w:val="List Table 5 Dark - Accent 6"/>
    <w:uiPriority w:val="99"/>
    <w:qFormat/>
    <w:tblPr>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ListTable6Colorful">
    <w:name w:val="List Table 6 Colorful"/>
    <w:uiPriority w:val="99"/>
    <w:qFormat/>
    <w:tblPr>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qFormat/>
    <w:tblPr>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qFormat/>
    <w:tblPr>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qFormat/>
    <w:tblPr>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qFormat/>
    <w:tblPr>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qFormat/>
    <w:tblPr>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qFormat/>
    <w:tblPr>
      <w:tblBorders>
        <w:top w:val="single" w:sz="4" w:space="0" w:color="FAC090"/>
        <w:bottom w:val="single" w:sz="4" w:space="0" w:color="FAC090"/>
      </w:tblBorders>
      <w:tblCellMar>
        <w:top w:w="0" w:type="dxa"/>
        <w:left w:w="0" w:type="dxa"/>
        <w:bottom w:w="0" w:type="dxa"/>
        <w:right w:w="0" w:type="dxa"/>
      </w:tblCellMar>
    </w:tblPr>
  </w:style>
  <w:style w:type="table" w:customStyle="1" w:styleId="ListTable7Colorful">
    <w:name w:val="List Table 7 Colorful"/>
    <w:uiPriority w:val="99"/>
    <w:qFormat/>
    <w:tblPr>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qFormat/>
    <w:tblPr>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qFormat/>
    <w:tblPr>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qFormat/>
    <w:tblPr>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qFormat/>
    <w:tblPr>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qFormat/>
    <w:tblPr>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qFormat/>
    <w:tblPr>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qFormat/>
    <w:rPr>
      <w:color w:val="404040"/>
    </w:rPr>
    <w:tblPr>
      <w:tblCellMar>
        <w:top w:w="0" w:type="dxa"/>
        <w:left w:w="0" w:type="dxa"/>
        <w:bottom w:w="0" w:type="dxa"/>
        <w:right w:w="0" w:type="dxa"/>
      </w:tblCellMar>
    </w:tblPr>
  </w:style>
  <w:style w:type="table" w:customStyle="1" w:styleId="Lined-Accent1">
    <w:name w:val="Lined - Accent 1"/>
    <w:uiPriority w:val="99"/>
    <w:qFormat/>
    <w:rPr>
      <w:color w:val="404040"/>
    </w:rPr>
    <w:tblPr>
      <w:tblCellMar>
        <w:top w:w="0" w:type="dxa"/>
        <w:left w:w="0" w:type="dxa"/>
        <w:bottom w:w="0" w:type="dxa"/>
        <w:right w:w="0" w:type="dxa"/>
      </w:tblCellMar>
    </w:tblPr>
  </w:style>
  <w:style w:type="table" w:customStyle="1" w:styleId="Lined-Accent2">
    <w:name w:val="Lined - Accent 2"/>
    <w:uiPriority w:val="99"/>
    <w:qFormat/>
    <w:rPr>
      <w:color w:val="404040"/>
    </w:rPr>
    <w:tblPr>
      <w:tblCellMar>
        <w:top w:w="0" w:type="dxa"/>
        <w:left w:w="0" w:type="dxa"/>
        <w:bottom w:w="0" w:type="dxa"/>
        <w:right w:w="0" w:type="dxa"/>
      </w:tblCellMar>
    </w:tblPr>
  </w:style>
  <w:style w:type="table" w:customStyle="1" w:styleId="Lined-Accent3">
    <w:name w:val="Lined - Accent 3"/>
    <w:uiPriority w:val="99"/>
    <w:qFormat/>
    <w:rPr>
      <w:color w:val="404040"/>
    </w:rPr>
    <w:tblPr>
      <w:tblCellMar>
        <w:top w:w="0" w:type="dxa"/>
        <w:left w:w="0" w:type="dxa"/>
        <w:bottom w:w="0" w:type="dxa"/>
        <w:right w:w="0" w:type="dxa"/>
      </w:tblCellMar>
    </w:tblPr>
  </w:style>
  <w:style w:type="table" w:customStyle="1" w:styleId="Lined-Accent4">
    <w:name w:val="Lined - Accent 4"/>
    <w:uiPriority w:val="99"/>
    <w:qFormat/>
    <w:rPr>
      <w:color w:val="404040"/>
    </w:rPr>
    <w:tblPr>
      <w:tblCellMar>
        <w:top w:w="0" w:type="dxa"/>
        <w:left w:w="0" w:type="dxa"/>
        <w:bottom w:w="0" w:type="dxa"/>
        <w:right w:w="0" w:type="dxa"/>
      </w:tblCellMar>
    </w:tblPr>
  </w:style>
  <w:style w:type="table" w:customStyle="1" w:styleId="Lined-Accent5">
    <w:name w:val="Lined - Accent 5"/>
    <w:uiPriority w:val="99"/>
    <w:qFormat/>
    <w:rPr>
      <w:color w:val="404040"/>
    </w:rPr>
    <w:tblPr>
      <w:tblCellMar>
        <w:top w:w="0" w:type="dxa"/>
        <w:left w:w="0" w:type="dxa"/>
        <w:bottom w:w="0" w:type="dxa"/>
        <w:right w:w="0" w:type="dxa"/>
      </w:tblCellMar>
    </w:tblPr>
  </w:style>
  <w:style w:type="table" w:customStyle="1" w:styleId="Lined-Accent6">
    <w:name w:val="Lined - Accent 6"/>
    <w:uiPriority w:val="99"/>
    <w:qFormat/>
    <w:rPr>
      <w:color w:val="404040"/>
    </w:rPr>
    <w:tblPr>
      <w:tblCellMar>
        <w:top w:w="0" w:type="dxa"/>
        <w:left w:w="0" w:type="dxa"/>
        <w:bottom w:w="0" w:type="dxa"/>
        <w:right w:w="0" w:type="dxa"/>
      </w:tblCellMar>
    </w:tblPr>
  </w:style>
  <w:style w:type="table" w:customStyle="1" w:styleId="BorderedLined-Accent">
    <w:name w:val="Bordered &amp; Lined - Accent"/>
    <w:uiPriority w:val="99"/>
    <w:qFormat/>
    <w:rPr>
      <w:color w:val="404040"/>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qFormat/>
    <w:rPr>
      <w:color w:val="404040"/>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qFormat/>
    <w:rPr>
      <w:color w:val="404040"/>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qFormat/>
    <w:rPr>
      <w:color w:val="404040"/>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qFormat/>
    <w:rPr>
      <w:color w:val="404040"/>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qFormat/>
    <w:rPr>
      <w:color w:val="404040"/>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qFormat/>
    <w:rPr>
      <w:color w:val="404040"/>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qFormat/>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qFormat/>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qFormat/>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qFormat/>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qFormat/>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qFormat/>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qFormat/>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customStyle="1" w:styleId="FootnoteTextChar">
    <w:name w:val="Footnote Text Char"/>
    <w:uiPriority w:val="99"/>
    <w:qFormat/>
    <w:rPr>
      <w:sz w:val="18"/>
    </w:rPr>
  </w:style>
  <w:style w:type="character" w:customStyle="1" w:styleId="Char">
    <w:name w:val="尾注文本 Char"/>
    <w:link w:val="a8"/>
    <w:uiPriority w:val="99"/>
    <w:semiHidden/>
    <w:qFormat/>
    <w:rPr>
      <w:lang w:val="en-US" w:eastAsia="zh-CN" w:bidi="ar-SA"/>
    </w:rPr>
  </w:style>
  <w:style w:type="paragraph" w:customStyle="1" w:styleId="TOC1">
    <w:name w:val="TOC 标题1"/>
    <w:uiPriority w:val="39"/>
    <w:unhideWhenUsed/>
    <w:qFormat/>
  </w:style>
  <w:style w:type="character" w:customStyle="1" w:styleId="Char1">
    <w:name w:val="脚注文本 Char"/>
    <w:link w:val="ad"/>
    <w:qFormat/>
    <w:rPr>
      <w:rFonts w:eastAsia="仿宋"/>
      <w:b/>
      <w:sz w:val="32"/>
      <w:szCs w:val="24"/>
    </w:rPr>
  </w:style>
  <w:style w:type="paragraph" w:customStyle="1" w:styleId="Style6">
    <w:name w:val="_Style 6"/>
    <w:basedOn w:val="a"/>
    <w:qFormat/>
  </w:style>
  <w:style w:type="character" w:customStyle="1" w:styleId="font31">
    <w:name w:val="font31"/>
    <w:qFormat/>
    <w:rPr>
      <w:rFonts w:ascii="宋体" w:eastAsia="宋体" w:hAnsi="宋体"/>
      <w:color w:val="FF0000"/>
      <w:sz w:val="24"/>
      <w:szCs w:val="24"/>
      <w:u w:val="none"/>
    </w:rPr>
  </w:style>
  <w:style w:type="character" w:customStyle="1" w:styleId="font11">
    <w:name w:val="font11"/>
    <w:qFormat/>
    <w:rPr>
      <w:rFonts w:ascii="宋体" w:eastAsia="宋体" w:hAnsi="宋体"/>
      <w:color w:val="000000"/>
      <w:sz w:val="24"/>
      <w:szCs w:val="24"/>
      <w:u w:val="none"/>
    </w:rPr>
  </w:style>
  <w:style w:type="paragraph" w:customStyle="1" w:styleId="16">
    <w:name w:val="修订1"/>
    <w:qFormat/>
    <w:rPr>
      <w:sz w:val="21"/>
      <w:szCs w:val="24"/>
    </w:rPr>
  </w:style>
  <w:style w:type="paragraph" w:customStyle="1" w:styleId="17">
    <w:name w:val="正文文本缩进1"/>
    <w:basedOn w:val="18"/>
    <w:qFormat/>
    <w:pPr>
      <w:spacing w:line="360" w:lineRule="auto"/>
      <w:ind w:firstLine="425"/>
    </w:pPr>
  </w:style>
  <w:style w:type="paragraph" w:customStyle="1" w:styleId="18">
    <w:name w:val="正文1"/>
    <w:qFormat/>
    <w:pPr>
      <w:widowControl w:val="0"/>
      <w:jc w:val="both"/>
    </w:pPr>
    <w:rPr>
      <w:sz w:val="21"/>
      <w:szCs w:val="24"/>
    </w:rPr>
  </w:style>
  <w:style w:type="paragraph" w:customStyle="1" w:styleId="Default">
    <w:name w:val="Default"/>
    <w:qFormat/>
    <w:pPr>
      <w:widowControl w:val="0"/>
    </w:pPr>
    <w:rPr>
      <w:rFonts w:ascii="宋体"/>
      <w:color w:val="000000"/>
      <w:sz w:val="24"/>
      <w:szCs w:val="24"/>
    </w:rPr>
  </w:style>
  <w:style w:type="paragraph" w:customStyle="1" w:styleId="p0">
    <w:name w:val="p0"/>
    <w:basedOn w:val="a"/>
    <w:qFormat/>
    <w:rPr>
      <w:sz w:val="21"/>
      <w:szCs w:val="21"/>
    </w:rPr>
  </w:style>
  <w:style w:type="paragraph" w:customStyle="1" w:styleId="CharChar5">
    <w:name w:val="Char Char5"/>
    <w:basedOn w:val="a"/>
    <w:qFormat/>
  </w:style>
  <w:style w:type="paragraph" w:styleId="afe">
    <w:name w:val="List Paragraph"/>
    <w:basedOn w:val="a"/>
    <w:qFormat/>
    <w:pPr>
      <w:ind w:firstLine="420"/>
    </w:pPr>
  </w:style>
  <w:style w:type="character" w:customStyle="1" w:styleId="2Char">
    <w:name w:val="正文文本 2 Char"/>
    <w:basedOn w:val="a0"/>
    <w:link w:val="21"/>
    <w:uiPriority w:val="9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7.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footer" Target="footer8.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51</Pages>
  <Words>3301</Words>
  <Characters>18818</Characters>
  <Application>Microsoft Office Word</Application>
  <DocSecurity>0</DocSecurity>
  <Lines>156</Lines>
  <Paragraphs>44</Paragraphs>
  <ScaleCrop>false</ScaleCrop>
  <Company>BOCOM</Company>
  <LinksUpToDate>false</LinksUpToDate>
  <CharactersWithSpaces>22075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王琦</cp:lastModifiedBy>
  <cp:revision>55</cp:revision>
  <dcterms:created xsi:type="dcterms:W3CDTF">2023-09-04T01:30:00Z</dcterms:created>
  <dcterms:modified xsi:type="dcterms:W3CDTF">2023-12-07T06:39:00Z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E29461ABA55D4EDA9639E398681AF69A</vt:lpwstr>
  </property>
</Properties>
</file>